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62D" w14:textId="7C189630" w:rsidR="00962683" w:rsidRDefault="000F0CEF">
      <w:pPr>
        <w:rPr>
          <w:rFonts w:ascii="Arial" w:hAnsi="Arial" w:cs="Arial"/>
        </w:rPr>
      </w:pPr>
      <w:r>
        <w:rPr>
          <w:rFonts w:ascii="Arial" w:hAnsi="Arial" w:cs="Arial"/>
        </w:rPr>
        <w:t>Da</w:t>
      </w:r>
    </w:p>
    <w:p w14:paraId="3F69B8D2" w14:textId="77777777" w:rsidR="000F0CEF" w:rsidRPr="002267ED" w:rsidRDefault="000F0CEF">
      <w:pPr>
        <w:rPr>
          <w:rFonts w:ascii="Arial" w:hAnsi="Arial" w:cs="Arial"/>
        </w:rPr>
      </w:pPr>
    </w:p>
    <w:p w14:paraId="184D95F5" w14:textId="6E71B3F7" w:rsidR="002267ED" w:rsidRPr="002267ED" w:rsidRDefault="008F5E9D" w:rsidP="002267ED">
      <w:pPr>
        <w:jc w:val="center"/>
        <w:rPr>
          <w:rFonts w:ascii="Arial Black" w:hAnsi="Arial Black" w:cs="Arial"/>
          <w:color w:val="2E74B5" w:themeColor="accent5" w:themeShade="BF"/>
          <w:sz w:val="40"/>
          <w:szCs w:val="40"/>
        </w:rPr>
      </w:pPr>
      <w:bookmarkStart w:id="0" w:name="_Hlk182330916"/>
      <w:r>
        <w:rPr>
          <w:rFonts w:ascii="Arial Black" w:hAnsi="Arial Black" w:cs="Arial"/>
          <w:color w:val="2E74B5" w:themeColor="accent5" w:themeShade="BF"/>
          <w:sz w:val="40"/>
          <w:szCs w:val="40"/>
        </w:rPr>
        <w:t>Effective Use of Country-by-Country Reporting Data</w:t>
      </w:r>
    </w:p>
    <w:bookmarkEnd w:id="0"/>
    <w:p w14:paraId="57A98B33" w14:textId="722C6109" w:rsidR="002267ED" w:rsidRPr="00E54BB2" w:rsidRDefault="008F5E9D" w:rsidP="002267ED">
      <w:pPr>
        <w:jc w:val="center"/>
        <w:rPr>
          <w:rFonts w:ascii="Arial Black" w:hAnsi="Arial Black" w:cs="Arial"/>
          <w:color w:val="92D050"/>
          <w:sz w:val="32"/>
          <w:szCs w:val="32"/>
        </w:rPr>
      </w:pPr>
      <w:r>
        <w:rPr>
          <w:rFonts w:ascii="Arial Black" w:hAnsi="Arial Black" w:cs="Arial"/>
          <w:color w:val="92D050"/>
          <w:sz w:val="32"/>
          <w:szCs w:val="32"/>
        </w:rPr>
        <w:t xml:space="preserve">19 – 21 </w:t>
      </w:r>
      <w:r w:rsidR="00461178">
        <w:rPr>
          <w:rFonts w:ascii="Arial Black" w:hAnsi="Arial Black" w:cs="Arial"/>
          <w:color w:val="92D050"/>
          <w:sz w:val="32"/>
          <w:szCs w:val="32"/>
        </w:rPr>
        <w:t xml:space="preserve">November </w:t>
      </w:r>
      <w:r>
        <w:rPr>
          <w:rFonts w:ascii="Arial Black" w:hAnsi="Arial Black" w:cs="Arial"/>
          <w:color w:val="92D050"/>
          <w:sz w:val="32"/>
          <w:szCs w:val="32"/>
        </w:rPr>
        <w:t>2024</w:t>
      </w:r>
      <w:r w:rsidR="002267ED" w:rsidRPr="00E54BB2">
        <w:rPr>
          <w:rFonts w:ascii="Arial Black" w:hAnsi="Arial Black" w:cs="Arial"/>
          <w:color w:val="92D050"/>
          <w:sz w:val="32"/>
          <w:szCs w:val="32"/>
        </w:rPr>
        <w:t xml:space="preserve"> – </w:t>
      </w:r>
      <w:r>
        <w:rPr>
          <w:rFonts w:ascii="Arial Black" w:hAnsi="Arial Black" w:cs="Arial"/>
          <w:color w:val="92D050"/>
          <w:sz w:val="32"/>
          <w:szCs w:val="32"/>
        </w:rPr>
        <w:t>9.</w:t>
      </w:r>
      <w:r w:rsidR="009850AC">
        <w:rPr>
          <w:rFonts w:ascii="Arial Black" w:hAnsi="Arial Black" w:cs="Arial"/>
          <w:color w:val="92D050"/>
          <w:sz w:val="32"/>
          <w:szCs w:val="32"/>
        </w:rPr>
        <w:t>00</w:t>
      </w:r>
      <w:r>
        <w:rPr>
          <w:rFonts w:ascii="Arial Black" w:hAnsi="Arial Black" w:cs="Arial"/>
          <w:color w:val="92D050"/>
          <w:sz w:val="32"/>
          <w:szCs w:val="32"/>
        </w:rPr>
        <w:t>am – 12.</w:t>
      </w:r>
      <w:r w:rsidR="009850AC">
        <w:rPr>
          <w:rFonts w:ascii="Arial Black" w:hAnsi="Arial Black" w:cs="Arial"/>
          <w:color w:val="92D050"/>
          <w:sz w:val="32"/>
          <w:szCs w:val="32"/>
        </w:rPr>
        <w:t>0</w:t>
      </w:r>
      <w:r>
        <w:rPr>
          <w:rFonts w:ascii="Arial Black" w:hAnsi="Arial Black" w:cs="Arial"/>
          <w:color w:val="92D050"/>
          <w:sz w:val="32"/>
          <w:szCs w:val="32"/>
        </w:rPr>
        <w:t>0pm</w:t>
      </w:r>
      <w:r w:rsidR="002267ED" w:rsidRPr="00E54BB2">
        <w:rPr>
          <w:rFonts w:ascii="Arial Black" w:hAnsi="Arial Black" w:cs="Arial"/>
          <w:color w:val="92D050"/>
          <w:sz w:val="32"/>
          <w:szCs w:val="32"/>
        </w:rPr>
        <w:t xml:space="preserve"> (Paris Time/CET)</w:t>
      </w:r>
    </w:p>
    <w:p w14:paraId="293BCD9A" w14:textId="75214F3F" w:rsidR="002267ED" w:rsidRDefault="008905BE" w:rsidP="002267ED">
      <w:pPr>
        <w:jc w:val="center"/>
        <w:rPr>
          <w:rFonts w:ascii="Arial" w:hAnsi="Arial" w:cs="Arial"/>
          <w:b/>
          <w:bCs/>
          <w:color w:val="44546A" w:themeColor="text2"/>
        </w:rPr>
      </w:pPr>
      <w:r>
        <w:rPr>
          <w:rFonts w:ascii="Arial" w:hAnsi="Arial" w:cs="Arial"/>
          <w:b/>
          <w:bCs/>
          <w:color w:val="44546A" w:themeColor="text2"/>
        </w:rPr>
        <w:t>V</w:t>
      </w:r>
      <w:r w:rsidR="005A4AF3">
        <w:rPr>
          <w:rFonts w:ascii="Arial" w:hAnsi="Arial" w:cs="Arial"/>
          <w:b/>
          <w:bCs/>
          <w:color w:val="44546A" w:themeColor="text2"/>
        </w:rPr>
        <w:t xml:space="preserve">IRTUAL </w:t>
      </w:r>
      <w:r w:rsidR="00A556B7">
        <w:rPr>
          <w:rFonts w:ascii="Arial" w:hAnsi="Arial" w:cs="Arial"/>
          <w:b/>
          <w:bCs/>
          <w:color w:val="44546A" w:themeColor="text2"/>
        </w:rPr>
        <w:t>WORKSHOP</w:t>
      </w:r>
    </w:p>
    <w:p w14:paraId="003C23BF" w14:textId="5CC8CF18" w:rsidR="002267ED" w:rsidRPr="00E54BB2" w:rsidRDefault="002267ED" w:rsidP="002267ED">
      <w:pPr>
        <w:jc w:val="center"/>
        <w:rPr>
          <w:rFonts w:ascii="Arial" w:hAnsi="Arial" w:cs="Arial"/>
          <w:color w:val="44546A" w:themeColor="text2"/>
          <w:sz w:val="28"/>
          <w:szCs w:val="28"/>
        </w:rPr>
      </w:pPr>
      <w:r w:rsidRPr="00E54BB2">
        <w:rPr>
          <w:rFonts w:ascii="Arial" w:hAnsi="Arial" w:cs="Arial"/>
          <w:b/>
          <w:bCs/>
          <w:color w:val="44546A" w:themeColor="text2"/>
          <w:sz w:val="28"/>
          <w:szCs w:val="28"/>
        </w:rPr>
        <w:t>Hosted by</w:t>
      </w:r>
      <w:r w:rsidRPr="00E54BB2">
        <w:rPr>
          <w:rFonts w:ascii="Arial" w:hAnsi="Arial" w:cs="Arial"/>
          <w:color w:val="44546A" w:themeColor="text2"/>
          <w:sz w:val="28"/>
          <w:szCs w:val="28"/>
        </w:rPr>
        <w:br/>
      </w:r>
      <w:r w:rsidR="00A556B7">
        <w:rPr>
          <w:rFonts w:ascii="Arial" w:hAnsi="Arial" w:cs="Arial"/>
          <w:color w:val="44546A" w:themeColor="text2"/>
          <w:sz w:val="28"/>
          <w:szCs w:val="28"/>
        </w:rPr>
        <w:t>The China and Korea OECD Multilateral Tax Centres</w:t>
      </w:r>
    </w:p>
    <w:p w14:paraId="3AA16ED0" w14:textId="5E24FBED" w:rsidR="002267ED" w:rsidRPr="002267ED" w:rsidRDefault="002267ED" w:rsidP="002267ED">
      <w:pPr>
        <w:rPr>
          <w:rFonts w:ascii="Arial" w:hAnsi="Arial" w:cs="Arial"/>
        </w:rPr>
      </w:pPr>
    </w:p>
    <w:p w14:paraId="015EF37C" w14:textId="1F248F1C" w:rsidR="002267ED" w:rsidRDefault="002267ED" w:rsidP="002267ED">
      <w:pPr>
        <w:rPr>
          <w:rFonts w:ascii="Arial" w:hAnsi="Arial" w:cs="Arial"/>
          <w:b/>
          <w:bCs/>
        </w:rPr>
      </w:pPr>
      <w:r>
        <w:rPr>
          <w:rFonts w:ascii="Arial" w:hAnsi="Arial" w:cs="Arial"/>
          <w:b/>
          <w:bCs/>
        </w:rPr>
        <w:t xml:space="preserve">Languages: </w:t>
      </w:r>
      <w:r w:rsidRPr="00E54BB2">
        <w:rPr>
          <w:rFonts w:ascii="Arial" w:hAnsi="Arial" w:cs="Arial"/>
        </w:rPr>
        <w:t xml:space="preserve">English with </w:t>
      </w:r>
      <w:r w:rsidR="00A556B7">
        <w:rPr>
          <w:rFonts w:ascii="Arial" w:hAnsi="Arial" w:cs="Arial"/>
        </w:rPr>
        <w:t>French</w:t>
      </w:r>
      <w:r w:rsidR="00FC41AC">
        <w:rPr>
          <w:rFonts w:ascii="Arial" w:hAnsi="Arial" w:cs="Arial"/>
        </w:rPr>
        <w:t xml:space="preserve">, </w:t>
      </w:r>
      <w:proofErr w:type="gramStart"/>
      <w:r w:rsidR="00A556B7">
        <w:rPr>
          <w:rFonts w:ascii="Arial" w:hAnsi="Arial" w:cs="Arial"/>
        </w:rPr>
        <w:t>Mandarin</w:t>
      </w:r>
      <w:proofErr w:type="gramEnd"/>
      <w:r w:rsidR="00A556B7">
        <w:rPr>
          <w:rFonts w:ascii="Arial" w:hAnsi="Arial" w:cs="Arial"/>
        </w:rPr>
        <w:t xml:space="preserve"> </w:t>
      </w:r>
      <w:r w:rsidR="00FC41AC">
        <w:rPr>
          <w:rFonts w:ascii="Arial" w:hAnsi="Arial" w:cs="Arial"/>
        </w:rPr>
        <w:t xml:space="preserve">and Russian </w:t>
      </w:r>
      <w:r w:rsidRPr="00E54BB2">
        <w:rPr>
          <w:rFonts w:ascii="Arial" w:hAnsi="Arial" w:cs="Arial"/>
        </w:rPr>
        <w:t>interpretation</w:t>
      </w:r>
    </w:p>
    <w:p w14:paraId="166F1ED8" w14:textId="77777777" w:rsidR="002267ED" w:rsidRDefault="002267ED" w:rsidP="002267ED">
      <w:pPr>
        <w:rPr>
          <w:rFonts w:ascii="Arial" w:hAnsi="Arial" w:cs="Arial"/>
          <w:b/>
          <w:bCs/>
        </w:rPr>
      </w:pPr>
    </w:p>
    <w:p w14:paraId="61C8BFA5" w14:textId="7A2B64B5" w:rsidR="002267ED" w:rsidRDefault="002267ED" w:rsidP="002267ED">
      <w:pPr>
        <w:rPr>
          <w:rFonts w:ascii="Arial" w:hAnsi="Arial" w:cs="Arial"/>
          <w:b/>
          <w:bCs/>
        </w:rPr>
      </w:pPr>
      <w:r>
        <w:rPr>
          <w:rFonts w:ascii="Arial" w:hAnsi="Arial" w:cs="Arial"/>
          <w:b/>
          <w:bCs/>
        </w:rPr>
        <w:t xml:space="preserve">Level: </w:t>
      </w:r>
      <w:r w:rsidRPr="002267ED">
        <w:rPr>
          <w:rFonts w:ascii="Arial" w:hAnsi="Arial" w:cs="Arial"/>
        </w:rPr>
        <w:t>Beginners</w:t>
      </w:r>
      <w:r w:rsidR="00A556B7">
        <w:rPr>
          <w:rFonts w:ascii="Arial" w:hAnsi="Arial" w:cs="Arial"/>
        </w:rPr>
        <w:t xml:space="preserve"> to </w:t>
      </w:r>
      <w:r w:rsidRPr="002267ED">
        <w:rPr>
          <w:rFonts w:ascii="Arial" w:hAnsi="Arial" w:cs="Arial"/>
        </w:rPr>
        <w:t>Intermediate</w:t>
      </w:r>
      <w:r w:rsidR="00A556B7">
        <w:rPr>
          <w:rFonts w:ascii="Arial" w:hAnsi="Arial" w:cs="Arial"/>
          <w:b/>
          <w:bCs/>
        </w:rPr>
        <w:t xml:space="preserve"> </w:t>
      </w:r>
    </w:p>
    <w:p w14:paraId="0ACDCB1B" w14:textId="77777777" w:rsidR="002267ED" w:rsidRDefault="002267ED" w:rsidP="002267ED">
      <w:pPr>
        <w:rPr>
          <w:rFonts w:ascii="Arial" w:hAnsi="Arial" w:cs="Arial"/>
          <w:b/>
          <w:bCs/>
        </w:rPr>
      </w:pPr>
    </w:p>
    <w:p w14:paraId="54E88CD0" w14:textId="573DBEED" w:rsidR="002267ED" w:rsidRPr="008F5E9D" w:rsidRDefault="002267ED" w:rsidP="002267ED">
      <w:pPr>
        <w:rPr>
          <w:rFonts w:ascii="Arial" w:hAnsi="Arial" w:cs="Arial"/>
        </w:rPr>
      </w:pPr>
      <w:r w:rsidRPr="002267ED">
        <w:rPr>
          <w:rFonts w:ascii="Arial" w:hAnsi="Arial" w:cs="Arial"/>
          <w:b/>
          <w:bCs/>
        </w:rPr>
        <w:t>Objectives:</w:t>
      </w:r>
      <w:r w:rsidR="008F5E9D">
        <w:rPr>
          <w:rFonts w:ascii="Arial" w:hAnsi="Arial" w:cs="Arial"/>
          <w:b/>
          <w:bCs/>
        </w:rPr>
        <w:t xml:space="preserve"> </w:t>
      </w:r>
      <w:r w:rsidR="008F5E9D" w:rsidRPr="008F5E9D">
        <w:rPr>
          <w:rFonts w:ascii="Arial" w:hAnsi="Arial" w:cs="Arial"/>
        </w:rPr>
        <w:t>See specific objectives for each session below</w:t>
      </w:r>
    </w:p>
    <w:p w14:paraId="2DEA3205" w14:textId="77777777" w:rsidR="002267ED" w:rsidRPr="002267ED" w:rsidRDefault="002267ED" w:rsidP="002267ED">
      <w:pPr>
        <w:rPr>
          <w:rFonts w:ascii="Arial" w:hAnsi="Arial" w:cs="Arial"/>
          <w:b/>
          <w:bCs/>
        </w:rPr>
      </w:pPr>
    </w:p>
    <w:p w14:paraId="62160C9A" w14:textId="31DBBBEE" w:rsidR="002267ED" w:rsidRPr="008F5E9D" w:rsidRDefault="002267ED" w:rsidP="002267ED">
      <w:pPr>
        <w:rPr>
          <w:rFonts w:ascii="Arial" w:hAnsi="Arial" w:cs="Arial"/>
        </w:rPr>
      </w:pPr>
      <w:r w:rsidRPr="002267ED">
        <w:rPr>
          <w:rFonts w:ascii="Arial" w:hAnsi="Arial" w:cs="Arial"/>
          <w:b/>
          <w:bCs/>
        </w:rPr>
        <w:t>Target audience:</w:t>
      </w:r>
      <w:r w:rsidR="008F5E9D">
        <w:rPr>
          <w:rFonts w:ascii="Arial" w:hAnsi="Arial" w:cs="Arial"/>
          <w:b/>
          <w:bCs/>
        </w:rPr>
        <w:t xml:space="preserve"> </w:t>
      </w:r>
      <w:r w:rsidR="008F5E9D">
        <w:rPr>
          <w:rFonts w:ascii="Arial" w:hAnsi="Arial" w:cs="Arial"/>
        </w:rPr>
        <w:t>See specific target audience for each session below</w:t>
      </w:r>
      <w:r w:rsidR="001E001F">
        <w:rPr>
          <w:rFonts w:ascii="Arial" w:hAnsi="Arial" w:cs="Arial"/>
        </w:rPr>
        <w:t xml:space="preserve">. In particular, the sessions as part of Day 1 are particularly </w:t>
      </w:r>
      <w:r w:rsidR="001E001F" w:rsidRPr="001E0BEF">
        <w:rPr>
          <w:rFonts w:ascii="Arial" w:hAnsi="Arial" w:cs="Arial"/>
        </w:rPr>
        <w:t xml:space="preserve">relevant for </w:t>
      </w:r>
      <w:r w:rsidR="001E0BEF">
        <w:rPr>
          <w:rFonts w:ascii="Arial" w:hAnsi="Arial" w:cs="Arial"/>
        </w:rPr>
        <w:t>officials responsible for international taxation or BEPS implementation</w:t>
      </w:r>
      <w:r w:rsidR="001E001F">
        <w:rPr>
          <w:rFonts w:ascii="Arial" w:hAnsi="Arial" w:cs="Arial"/>
        </w:rPr>
        <w:t xml:space="preserve"> in jurisdictions that have not yet commenced implementation of the Action 13 Minimum Standard or have only partially implemented and wish to understand the benefits that can be achieved from receiving CbC reports and the data they contain. Sessions in Day 2 and Day 3 are targeted specifically for tax administration officials who will use/already use CbC reports as part of their work. </w:t>
      </w:r>
    </w:p>
    <w:p w14:paraId="32141E2F" w14:textId="77777777" w:rsidR="002267ED" w:rsidRPr="002267ED" w:rsidRDefault="002267ED" w:rsidP="002267ED">
      <w:pPr>
        <w:rPr>
          <w:rFonts w:ascii="Arial" w:hAnsi="Arial" w:cs="Arial"/>
          <w:b/>
          <w:bCs/>
        </w:rPr>
      </w:pPr>
    </w:p>
    <w:p w14:paraId="0D5A559F" w14:textId="6E065F4A" w:rsidR="002267ED" w:rsidRDefault="002267ED" w:rsidP="002267ED">
      <w:pPr>
        <w:rPr>
          <w:rFonts w:ascii="Arial" w:hAnsi="Arial" w:cs="Arial"/>
        </w:rPr>
      </w:pPr>
      <w:r w:rsidRPr="002267ED">
        <w:rPr>
          <w:rFonts w:ascii="Arial" w:hAnsi="Arial" w:cs="Arial"/>
          <w:b/>
          <w:bCs/>
        </w:rPr>
        <w:t>Format:</w:t>
      </w:r>
      <w:r w:rsidRPr="002267ED">
        <w:rPr>
          <w:rFonts w:ascii="Arial" w:hAnsi="Arial" w:cs="Arial"/>
        </w:rPr>
        <w:t xml:space="preserve"> This </w:t>
      </w:r>
      <w:r w:rsidRPr="00C027DE">
        <w:rPr>
          <w:rFonts w:ascii="Arial" w:hAnsi="Arial" w:cs="Arial"/>
          <w:b/>
          <w:bCs/>
        </w:rPr>
        <w:t>virtual workshop</w:t>
      </w:r>
      <w:r w:rsidRPr="002267ED">
        <w:rPr>
          <w:rFonts w:ascii="Arial" w:hAnsi="Arial" w:cs="Arial"/>
        </w:rPr>
        <w:t xml:space="preserve"> will be led by experts from the OECD Secretariat with support from OECD country experts. </w:t>
      </w:r>
    </w:p>
    <w:p w14:paraId="7640A1E0" w14:textId="77777777" w:rsidR="002267ED" w:rsidRDefault="002267ED" w:rsidP="002267ED">
      <w:pPr>
        <w:rPr>
          <w:rFonts w:ascii="Arial" w:hAnsi="Arial" w:cs="Arial"/>
          <w:b/>
          <w:bCs/>
        </w:rPr>
      </w:pPr>
    </w:p>
    <w:p w14:paraId="793B1234" w14:textId="511F473A" w:rsidR="002267ED" w:rsidRPr="002267ED" w:rsidRDefault="002267ED" w:rsidP="002267ED">
      <w:pPr>
        <w:rPr>
          <w:rFonts w:ascii="Arial" w:hAnsi="Arial" w:cs="Arial"/>
        </w:rPr>
      </w:pPr>
      <w:r w:rsidRPr="002267ED">
        <w:rPr>
          <w:rFonts w:ascii="Arial" w:hAnsi="Arial" w:cs="Arial"/>
          <w:b/>
          <w:bCs/>
        </w:rPr>
        <w:t>Materials:</w:t>
      </w:r>
      <w:r>
        <w:rPr>
          <w:rFonts w:ascii="Arial" w:hAnsi="Arial" w:cs="Arial"/>
        </w:rPr>
        <w:t xml:space="preserve"> Will be available to download </w:t>
      </w:r>
      <w:r w:rsidR="001E001F">
        <w:rPr>
          <w:rFonts w:ascii="Arial" w:hAnsi="Arial" w:cs="Arial"/>
        </w:rPr>
        <w:t xml:space="preserve">after the event </w:t>
      </w:r>
      <w:r>
        <w:rPr>
          <w:rFonts w:ascii="Arial" w:hAnsi="Arial" w:cs="Arial"/>
        </w:rPr>
        <w:t>via the Knowledge Sharing Platform (KSP</w:t>
      </w:r>
      <w:r w:rsidR="00F2653A" w:rsidRPr="00F2653A">
        <w:rPr>
          <w:rFonts w:ascii="Arial" w:hAnsi="Arial" w:cs="Arial"/>
          <w:vertAlign w:val="subscript"/>
        </w:rPr>
        <w:t>TA</w:t>
      </w:r>
      <w:r>
        <w:rPr>
          <w:rFonts w:ascii="Arial" w:hAnsi="Arial" w:cs="Arial"/>
        </w:rPr>
        <w:t>) in English</w:t>
      </w:r>
      <w:r w:rsidR="001E001F">
        <w:rPr>
          <w:rFonts w:ascii="Arial" w:hAnsi="Arial" w:cs="Arial"/>
        </w:rPr>
        <w:t>.</w:t>
      </w:r>
    </w:p>
    <w:p w14:paraId="048AC1AA" w14:textId="20F6DB82" w:rsidR="00820180" w:rsidRDefault="00820180">
      <w:pPr>
        <w:rPr>
          <w:rFonts w:ascii="Arial" w:hAnsi="Arial" w:cs="Arial"/>
        </w:rPr>
      </w:pPr>
      <w:r>
        <w:rPr>
          <w:rFonts w:ascii="Arial" w:hAnsi="Arial" w:cs="Arial"/>
        </w:rPr>
        <w:br w:type="page"/>
      </w:r>
    </w:p>
    <w:p w14:paraId="394FC2CC" w14:textId="77777777" w:rsidR="002267ED" w:rsidRDefault="002267ED" w:rsidP="002267ED">
      <w:pPr>
        <w:rPr>
          <w:rFonts w:ascii="Arial" w:hAnsi="Arial" w:cs="Arial"/>
        </w:rPr>
      </w:pPr>
    </w:p>
    <w:p w14:paraId="3A7FEFA7" w14:textId="10CCEEEE" w:rsidR="0055196B" w:rsidRDefault="0055196B">
      <w:pPr>
        <w:rPr>
          <w:rFonts w:ascii="Arial" w:hAnsi="Arial" w:cs="Arial"/>
          <w:lang w:val="en-US"/>
        </w:rPr>
      </w:pPr>
    </w:p>
    <w:p w14:paraId="56D45732" w14:textId="77777777" w:rsidR="004604B0" w:rsidRPr="002267ED" w:rsidRDefault="004604B0" w:rsidP="004604B0">
      <w:pPr>
        <w:jc w:val="center"/>
        <w:rPr>
          <w:rFonts w:ascii="Arial Black" w:hAnsi="Arial Black" w:cs="Arial"/>
          <w:color w:val="2E74B5" w:themeColor="accent5" w:themeShade="BF"/>
          <w:sz w:val="40"/>
          <w:szCs w:val="40"/>
        </w:rPr>
      </w:pPr>
      <w:r>
        <w:rPr>
          <w:rFonts w:ascii="Arial Black" w:hAnsi="Arial Black" w:cs="Arial"/>
          <w:color w:val="2E74B5" w:themeColor="accent5" w:themeShade="BF"/>
          <w:sz w:val="40"/>
          <w:szCs w:val="40"/>
        </w:rPr>
        <w:t>Effective Use of Country-by-Country Reporting Data</w:t>
      </w:r>
    </w:p>
    <w:p w14:paraId="32FACFBE" w14:textId="4DBC9607" w:rsidR="00820180" w:rsidRPr="00E54BB2" w:rsidRDefault="00254962" w:rsidP="00820180">
      <w:pPr>
        <w:jc w:val="center"/>
        <w:rPr>
          <w:rFonts w:ascii="Arial Black" w:hAnsi="Arial Black" w:cs="Arial"/>
          <w:color w:val="92D050"/>
          <w:sz w:val="32"/>
          <w:szCs w:val="32"/>
        </w:rPr>
      </w:pPr>
      <w:r w:rsidRPr="00646B85">
        <w:rPr>
          <w:rFonts w:ascii="Arial Black" w:hAnsi="Arial Black" w:cs="Arial"/>
          <w:lang w:val="en-US"/>
        </w:rPr>
        <w:br/>
      </w:r>
      <w:r w:rsidR="00820180">
        <w:rPr>
          <w:rFonts w:ascii="Arial Black" w:hAnsi="Arial Black" w:cs="Arial"/>
          <w:color w:val="92D050"/>
          <w:sz w:val="32"/>
          <w:szCs w:val="32"/>
        </w:rPr>
        <w:t xml:space="preserve">19 – 21 </w:t>
      </w:r>
      <w:r w:rsidR="00461178">
        <w:rPr>
          <w:rFonts w:ascii="Arial Black" w:hAnsi="Arial Black" w:cs="Arial"/>
          <w:color w:val="92D050"/>
          <w:sz w:val="32"/>
          <w:szCs w:val="32"/>
        </w:rPr>
        <w:t xml:space="preserve">November </w:t>
      </w:r>
      <w:r w:rsidR="00820180">
        <w:rPr>
          <w:rFonts w:ascii="Arial Black" w:hAnsi="Arial Black" w:cs="Arial"/>
          <w:color w:val="92D050"/>
          <w:sz w:val="32"/>
          <w:szCs w:val="32"/>
        </w:rPr>
        <w:t>2024</w:t>
      </w:r>
      <w:r w:rsidR="00820180" w:rsidRPr="00E54BB2">
        <w:rPr>
          <w:rFonts w:ascii="Arial Black" w:hAnsi="Arial Black" w:cs="Arial"/>
          <w:color w:val="92D050"/>
          <w:sz w:val="32"/>
          <w:szCs w:val="32"/>
        </w:rPr>
        <w:t xml:space="preserve"> – </w:t>
      </w:r>
      <w:r w:rsidR="00820180">
        <w:rPr>
          <w:rFonts w:ascii="Arial Black" w:hAnsi="Arial Black" w:cs="Arial"/>
          <w:color w:val="92D050"/>
          <w:sz w:val="32"/>
          <w:szCs w:val="32"/>
        </w:rPr>
        <w:t>9.</w:t>
      </w:r>
      <w:r w:rsidR="009850AC">
        <w:rPr>
          <w:rFonts w:ascii="Arial Black" w:hAnsi="Arial Black" w:cs="Arial"/>
          <w:color w:val="92D050"/>
          <w:sz w:val="32"/>
          <w:szCs w:val="32"/>
        </w:rPr>
        <w:t>0</w:t>
      </w:r>
      <w:r w:rsidR="00820180">
        <w:rPr>
          <w:rFonts w:ascii="Arial Black" w:hAnsi="Arial Black" w:cs="Arial"/>
          <w:color w:val="92D050"/>
          <w:sz w:val="32"/>
          <w:szCs w:val="32"/>
        </w:rPr>
        <w:t>0am – 12.</w:t>
      </w:r>
      <w:r w:rsidR="009850AC">
        <w:rPr>
          <w:rFonts w:ascii="Arial Black" w:hAnsi="Arial Black" w:cs="Arial"/>
          <w:color w:val="92D050"/>
          <w:sz w:val="32"/>
          <w:szCs w:val="32"/>
        </w:rPr>
        <w:t>0</w:t>
      </w:r>
      <w:r w:rsidR="00820180">
        <w:rPr>
          <w:rFonts w:ascii="Arial Black" w:hAnsi="Arial Black" w:cs="Arial"/>
          <w:color w:val="92D050"/>
          <w:sz w:val="32"/>
          <w:szCs w:val="32"/>
        </w:rPr>
        <w:t>0pm</w:t>
      </w:r>
      <w:r w:rsidR="00820180" w:rsidRPr="00E54BB2">
        <w:rPr>
          <w:rFonts w:ascii="Arial Black" w:hAnsi="Arial Black" w:cs="Arial"/>
          <w:color w:val="92D050"/>
          <w:sz w:val="32"/>
          <w:szCs w:val="32"/>
        </w:rPr>
        <w:t xml:space="preserve"> (Paris Time/CET)</w:t>
      </w:r>
    </w:p>
    <w:p w14:paraId="7BBB766D" w14:textId="5B008A5B" w:rsidR="00AD7390" w:rsidRDefault="00AD7390" w:rsidP="00820180">
      <w:pPr>
        <w:jc w:val="center"/>
        <w:rPr>
          <w:rFonts w:ascii="Arial" w:hAnsi="Arial" w:cs="Arial"/>
          <w:lang w:val="en-US"/>
        </w:rPr>
      </w:pPr>
    </w:p>
    <w:p w14:paraId="06F51208" w14:textId="77777777" w:rsidR="005017F9" w:rsidRDefault="00646B85" w:rsidP="0056289F">
      <w:pPr>
        <w:rPr>
          <w:rFonts w:ascii="Arial" w:hAnsi="Arial" w:cs="Arial"/>
          <w:b/>
          <w:bCs/>
          <w:lang w:val="en-US"/>
        </w:rPr>
      </w:pPr>
      <w:r>
        <w:rPr>
          <w:rFonts w:ascii="Arial" w:hAnsi="Arial" w:cs="Arial"/>
          <w:b/>
          <w:bCs/>
          <w:lang w:val="en-US"/>
        </w:rPr>
        <w:t>Event leader</w:t>
      </w:r>
      <w:r w:rsidR="005017F9">
        <w:rPr>
          <w:rFonts w:ascii="Arial" w:hAnsi="Arial" w:cs="Arial"/>
          <w:b/>
          <w:bCs/>
          <w:lang w:val="en-US"/>
        </w:rPr>
        <w:t>(s):</w:t>
      </w:r>
    </w:p>
    <w:p w14:paraId="04E2015A" w14:textId="6D97B1ED" w:rsidR="005017F9" w:rsidRPr="00E54BB2" w:rsidRDefault="005017F9" w:rsidP="005017F9">
      <w:pPr>
        <w:rPr>
          <w:rFonts w:ascii="Arial" w:hAnsi="Arial" w:cs="Arial"/>
          <w:lang w:val="en-US"/>
        </w:rPr>
      </w:pPr>
      <w:r>
        <w:rPr>
          <w:rFonts w:ascii="Arial" w:hAnsi="Arial" w:cs="Arial"/>
          <w:lang w:val="en-US"/>
        </w:rPr>
        <w:t xml:space="preserve">Mr. </w:t>
      </w:r>
      <w:r w:rsidR="00820180">
        <w:rPr>
          <w:rFonts w:ascii="Arial" w:hAnsi="Arial" w:cs="Arial"/>
          <w:lang w:val="en-US"/>
        </w:rPr>
        <w:t xml:space="preserve">Mark, JOHNSON </w:t>
      </w:r>
      <w:r>
        <w:rPr>
          <w:rFonts w:ascii="Arial" w:hAnsi="Arial" w:cs="Arial"/>
          <w:lang w:val="en-US"/>
        </w:rPr>
        <w:t>(OECD Secretariat)</w:t>
      </w:r>
    </w:p>
    <w:p w14:paraId="3E5E3910" w14:textId="08439B59" w:rsidR="005017F9" w:rsidRDefault="005017F9" w:rsidP="005017F9">
      <w:pPr>
        <w:rPr>
          <w:rFonts w:ascii="Arial" w:hAnsi="Arial" w:cs="Arial"/>
          <w:lang w:val="en-US"/>
        </w:rPr>
      </w:pPr>
      <w:r>
        <w:rPr>
          <w:rFonts w:ascii="Arial" w:hAnsi="Arial" w:cs="Arial"/>
          <w:lang w:val="en-US"/>
        </w:rPr>
        <w:t xml:space="preserve">Ms. </w:t>
      </w:r>
      <w:r w:rsidR="00820180">
        <w:rPr>
          <w:rFonts w:ascii="Arial" w:hAnsi="Arial" w:cs="Arial"/>
          <w:lang w:val="en-US"/>
        </w:rPr>
        <w:t>Nicole</w:t>
      </w:r>
      <w:r>
        <w:rPr>
          <w:rFonts w:ascii="Arial" w:hAnsi="Arial" w:cs="Arial"/>
          <w:lang w:val="en-US"/>
        </w:rPr>
        <w:t xml:space="preserve">, </w:t>
      </w:r>
      <w:r w:rsidR="00820180">
        <w:rPr>
          <w:rFonts w:ascii="Arial" w:hAnsi="Arial" w:cs="Arial"/>
          <w:lang w:val="en-US"/>
        </w:rPr>
        <w:t>CASEY</w:t>
      </w:r>
      <w:r>
        <w:rPr>
          <w:rFonts w:ascii="Arial" w:hAnsi="Arial" w:cs="Arial"/>
          <w:lang w:val="en-US"/>
        </w:rPr>
        <w:t xml:space="preserve"> (OECD Secretariat</w:t>
      </w:r>
      <w:r w:rsidR="00820180">
        <w:rPr>
          <w:rFonts w:ascii="Arial" w:hAnsi="Arial" w:cs="Arial"/>
          <w:lang w:val="en-US"/>
        </w:rPr>
        <w:t>)</w:t>
      </w:r>
    </w:p>
    <w:p w14:paraId="6AA6C172" w14:textId="0E90CA9C" w:rsidR="00820180" w:rsidRPr="00E54BB2" w:rsidRDefault="00820180" w:rsidP="00820180">
      <w:pPr>
        <w:rPr>
          <w:rFonts w:ascii="Arial" w:hAnsi="Arial" w:cs="Arial"/>
          <w:lang w:val="en-US"/>
        </w:rPr>
      </w:pPr>
      <w:r>
        <w:rPr>
          <w:rFonts w:ascii="Arial" w:hAnsi="Arial" w:cs="Arial"/>
          <w:lang w:val="en-US"/>
        </w:rPr>
        <w:t>Mr. Matthew, COAKLEY (OECD Secretariat)</w:t>
      </w:r>
    </w:p>
    <w:p w14:paraId="4FD3A15B" w14:textId="77777777" w:rsidR="005017F9" w:rsidRDefault="005017F9" w:rsidP="0056289F">
      <w:pPr>
        <w:rPr>
          <w:rFonts w:ascii="Arial" w:hAnsi="Arial" w:cs="Arial"/>
          <w:b/>
          <w:bCs/>
          <w:lang w:val="en-US"/>
        </w:rPr>
      </w:pPr>
    </w:p>
    <w:p w14:paraId="6A0A2A4C" w14:textId="02C161DA" w:rsidR="00254962" w:rsidRPr="00646B85" w:rsidRDefault="00254962" w:rsidP="0056289F">
      <w:pPr>
        <w:rPr>
          <w:rFonts w:ascii="Arial" w:hAnsi="Arial" w:cs="Arial"/>
          <w:b/>
          <w:bCs/>
          <w:lang w:val="en-US"/>
        </w:rPr>
      </w:pPr>
      <w:r w:rsidRPr="00646B85">
        <w:rPr>
          <w:rFonts w:ascii="Arial" w:hAnsi="Arial" w:cs="Arial"/>
          <w:b/>
          <w:bCs/>
          <w:lang w:val="en-US"/>
        </w:rPr>
        <w:t>Experts</w:t>
      </w:r>
      <w:r w:rsidR="00646B85" w:rsidRPr="00646B85">
        <w:rPr>
          <w:rFonts w:ascii="Arial" w:hAnsi="Arial" w:cs="Arial"/>
          <w:b/>
          <w:bCs/>
          <w:lang w:val="en-US"/>
        </w:rPr>
        <w:t>:</w:t>
      </w:r>
    </w:p>
    <w:p w14:paraId="5ED94BC0" w14:textId="08045B51" w:rsidR="00820180" w:rsidRDefault="00820180" w:rsidP="00820180">
      <w:pPr>
        <w:rPr>
          <w:rFonts w:ascii="Arial" w:hAnsi="Arial" w:cs="Arial"/>
          <w:lang w:val="en-US"/>
        </w:rPr>
      </w:pPr>
      <w:r>
        <w:rPr>
          <w:rFonts w:ascii="Arial" w:hAnsi="Arial" w:cs="Arial"/>
          <w:lang w:val="en-US"/>
        </w:rPr>
        <w:t>Ms. Mayra, LUCAS (OECD Secretariat)</w:t>
      </w:r>
    </w:p>
    <w:p w14:paraId="58597ACC" w14:textId="625C9D6C" w:rsidR="00820180" w:rsidRDefault="00820180" w:rsidP="00820180">
      <w:pPr>
        <w:rPr>
          <w:rFonts w:ascii="Arial" w:hAnsi="Arial" w:cs="Arial"/>
          <w:lang w:val="en-US"/>
        </w:rPr>
      </w:pPr>
      <w:r>
        <w:rPr>
          <w:rFonts w:ascii="Arial" w:hAnsi="Arial" w:cs="Arial"/>
          <w:lang w:val="en-US"/>
        </w:rPr>
        <w:t xml:space="preserve">Mr. </w:t>
      </w:r>
      <w:r w:rsidR="0081092F">
        <w:rPr>
          <w:rFonts w:ascii="Arial" w:hAnsi="Arial" w:cs="Arial"/>
          <w:lang w:val="en-US"/>
        </w:rPr>
        <w:t>Mark</w:t>
      </w:r>
      <w:r>
        <w:rPr>
          <w:rFonts w:ascii="Arial" w:hAnsi="Arial" w:cs="Arial"/>
          <w:lang w:val="en-US"/>
        </w:rPr>
        <w:t xml:space="preserve">, </w:t>
      </w:r>
      <w:r w:rsidR="0081092F">
        <w:rPr>
          <w:rFonts w:ascii="Arial" w:hAnsi="Arial" w:cs="Arial"/>
          <w:lang w:val="en-US"/>
        </w:rPr>
        <w:t>SCOTT</w:t>
      </w:r>
      <w:r>
        <w:rPr>
          <w:rFonts w:ascii="Arial" w:hAnsi="Arial" w:cs="Arial"/>
          <w:lang w:val="en-US"/>
        </w:rPr>
        <w:t xml:space="preserve"> (OECD Secretariat)</w:t>
      </w:r>
    </w:p>
    <w:p w14:paraId="0604815D" w14:textId="35CA3AFF" w:rsidR="0081092F" w:rsidRDefault="0081092F" w:rsidP="00820180">
      <w:pPr>
        <w:rPr>
          <w:rFonts w:ascii="Arial" w:hAnsi="Arial" w:cs="Arial"/>
          <w:lang w:val="en-US"/>
        </w:rPr>
      </w:pPr>
      <w:r>
        <w:rPr>
          <w:rFonts w:ascii="Arial" w:hAnsi="Arial" w:cs="Arial"/>
          <w:lang w:val="en-US"/>
        </w:rPr>
        <w:t>Mr. Lloyd, GARR</w:t>
      </w:r>
      <w:r w:rsidR="00866D6B">
        <w:rPr>
          <w:rFonts w:ascii="Arial" w:hAnsi="Arial" w:cs="Arial"/>
          <w:lang w:val="en-US"/>
        </w:rPr>
        <w:t>O</w:t>
      </w:r>
      <w:r>
        <w:rPr>
          <w:rFonts w:ascii="Arial" w:hAnsi="Arial" w:cs="Arial"/>
          <w:lang w:val="en-US"/>
        </w:rPr>
        <w:t>CHINHO (OECD Secretariat)</w:t>
      </w:r>
    </w:p>
    <w:p w14:paraId="7495C479" w14:textId="79DA3343" w:rsidR="0081092F" w:rsidRDefault="000F0CEF" w:rsidP="00820180">
      <w:pPr>
        <w:rPr>
          <w:rFonts w:ascii="Arial" w:hAnsi="Arial" w:cs="Arial"/>
          <w:lang w:val="en-US"/>
        </w:rPr>
      </w:pPr>
      <w:r>
        <w:rPr>
          <w:rFonts w:ascii="Arial" w:hAnsi="Arial" w:cs="Arial"/>
          <w:lang w:val="en-US"/>
        </w:rPr>
        <w:t xml:space="preserve">Ms. </w:t>
      </w:r>
      <w:r w:rsidR="00B00258" w:rsidRPr="00B00258">
        <w:rPr>
          <w:rFonts w:ascii="Arial" w:hAnsi="Arial" w:cs="Arial"/>
          <w:lang w:val="en-US"/>
        </w:rPr>
        <w:t>Suhani</w:t>
      </w:r>
      <w:r w:rsidR="00B00258">
        <w:rPr>
          <w:rFonts w:ascii="Arial" w:hAnsi="Arial" w:cs="Arial"/>
          <w:lang w:val="en-US"/>
        </w:rPr>
        <w:t>,</w:t>
      </w:r>
      <w:r w:rsidR="00B00258" w:rsidRPr="00B00258">
        <w:rPr>
          <w:rFonts w:ascii="Arial" w:hAnsi="Arial" w:cs="Arial"/>
          <w:lang w:val="en-US"/>
        </w:rPr>
        <w:t xml:space="preserve"> </w:t>
      </w:r>
      <w:r w:rsidR="00B00258">
        <w:rPr>
          <w:rFonts w:ascii="Arial" w:hAnsi="Arial" w:cs="Arial"/>
          <w:lang w:val="en-US"/>
        </w:rPr>
        <w:t>ANUAR (Malaysia)</w:t>
      </w:r>
    </w:p>
    <w:p w14:paraId="755AEF08" w14:textId="712D5A23" w:rsidR="000F0CEF" w:rsidRDefault="000F0CEF" w:rsidP="000F0CEF">
      <w:pPr>
        <w:spacing w:line="360" w:lineRule="auto"/>
        <w:rPr>
          <w:rFonts w:ascii="Arial" w:hAnsi="Arial" w:cs="Arial"/>
          <w:lang w:val="en-US"/>
        </w:rPr>
      </w:pPr>
      <w:r>
        <w:rPr>
          <w:rFonts w:ascii="Arial" w:hAnsi="Arial" w:cs="Arial"/>
          <w:lang w:val="en-US"/>
        </w:rPr>
        <w:t xml:space="preserve">Ms. </w:t>
      </w:r>
      <w:r>
        <w:rPr>
          <w:rFonts w:ascii="Arial" w:hAnsi="Arial" w:cs="Arial"/>
          <w:lang w:val="en-US"/>
        </w:rPr>
        <w:t>Hannah</w:t>
      </w:r>
      <w:r>
        <w:rPr>
          <w:rFonts w:ascii="Arial" w:hAnsi="Arial" w:cs="Arial"/>
          <w:lang w:val="en-US"/>
        </w:rPr>
        <w:t>,</w:t>
      </w:r>
      <w:r>
        <w:rPr>
          <w:rFonts w:ascii="Arial" w:hAnsi="Arial" w:cs="Arial"/>
          <w:lang w:val="en-US"/>
        </w:rPr>
        <w:t xml:space="preserve"> H</w:t>
      </w:r>
      <w:r>
        <w:rPr>
          <w:rFonts w:ascii="Arial" w:hAnsi="Arial" w:cs="Arial"/>
          <w:lang w:val="en-US"/>
        </w:rPr>
        <w:t>ASHEMI</w:t>
      </w:r>
      <w:r>
        <w:rPr>
          <w:rFonts w:ascii="Arial" w:hAnsi="Arial" w:cs="Arial"/>
          <w:lang w:val="en-US"/>
        </w:rPr>
        <w:t xml:space="preserve"> (UK)</w:t>
      </w:r>
    </w:p>
    <w:p w14:paraId="20D8469D" w14:textId="0765AAC7" w:rsidR="000F0CEF" w:rsidRDefault="000F0CEF" w:rsidP="000F0CEF">
      <w:pPr>
        <w:spacing w:line="360" w:lineRule="auto"/>
        <w:rPr>
          <w:rFonts w:ascii="Arial" w:hAnsi="Arial" w:cs="Arial"/>
          <w:lang w:val="en-US"/>
        </w:rPr>
      </w:pPr>
      <w:r>
        <w:rPr>
          <w:rFonts w:ascii="Arial" w:hAnsi="Arial" w:cs="Arial"/>
          <w:lang w:val="en-US"/>
        </w:rPr>
        <w:t>Mr. Andreas Rossi, DEWANTARA</w:t>
      </w:r>
      <w:r w:rsidRPr="00D86E85">
        <w:rPr>
          <w:rFonts w:ascii="Arial" w:hAnsi="Arial" w:cs="Arial"/>
          <w:lang w:val="en-US"/>
        </w:rPr>
        <w:t xml:space="preserve"> </w:t>
      </w:r>
      <w:r>
        <w:rPr>
          <w:rFonts w:ascii="Arial" w:hAnsi="Arial" w:cs="Arial"/>
          <w:lang w:val="en-US"/>
        </w:rPr>
        <w:t>(Indonesia)</w:t>
      </w:r>
    </w:p>
    <w:p w14:paraId="38370522" w14:textId="61E322EC" w:rsidR="0081092F" w:rsidRDefault="0081092F" w:rsidP="00820180">
      <w:pPr>
        <w:rPr>
          <w:rFonts w:ascii="Arial" w:hAnsi="Arial" w:cs="Arial"/>
          <w:lang w:val="en-US"/>
        </w:rPr>
      </w:pPr>
      <w:r>
        <w:rPr>
          <w:rFonts w:ascii="Arial" w:hAnsi="Arial" w:cs="Arial"/>
          <w:lang w:val="en-US"/>
        </w:rPr>
        <w:t>Mr. Paul, WILSON (Australia)</w:t>
      </w:r>
    </w:p>
    <w:p w14:paraId="056AF7B1" w14:textId="4A70DF47" w:rsidR="0081092F" w:rsidRDefault="0081092F" w:rsidP="00820180">
      <w:pPr>
        <w:rPr>
          <w:rFonts w:ascii="Arial" w:hAnsi="Arial" w:cs="Arial"/>
          <w:lang w:val="en-US"/>
        </w:rPr>
      </w:pPr>
      <w:r>
        <w:rPr>
          <w:rFonts w:ascii="Arial" w:hAnsi="Arial" w:cs="Arial"/>
          <w:lang w:val="en-US"/>
        </w:rPr>
        <w:t>Ms. Klara, KOWALSKA (Poland)</w:t>
      </w:r>
    </w:p>
    <w:p w14:paraId="7EC8636E" w14:textId="690EF7AA" w:rsidR="000F0CEF" w:rsidRDefault="000F0CEF" w:rsidP="00820180">
      <w:pPr>
        <w:rPr>
          <w:rFonts w:ascii="Arial" w:hAnsi="Arial" w:cs="Arial"/>
          <w:lang w:val="en-US"/>
        </w:rPr>
      </w:pPr>
      <w:r>
        <w:rPr>
          <w:rFonts w:ascii="Arial" w:hAnsi="Arial" w:cs="Arial"/>
          <w:lang w:val="en-US"/>
        </w:rPr>
        <w:t xml:space="preserve">Mr. </w:t>
      </w:r>
      <w:r w:rsidRPr="009D36DE">
        <w:rPr>
          <w:rFonts w:ascii="Arial" w:hAnsi="Arial" w:cs="Arial"/>
          <w:lang w:val="en-US"/>
        </w:rPr>
        <w:t>Fikrat</w:t>
      </w:r>
      <w:r>
        <w:rPr>
          <w:rFonts w:ascii="Arial" w:hAnsi="Arial" w:cs="Arial"/>
          <w:lang w:val="en-US"/>
        </w:rPr>
        <w:t>, ABDULLAYEV (Azerbaijan)</w:t>
      </w:r>
    </w:p>
    <w:p w14:paraId="36BF7CAE" w14:textId="56469830" w:rsidR="00FC41AC" w:rsidRDefault="006E7E4F" w:rsidP="00820180">
      <w:pPr>
        <w:rPr>
          <w:rFonts w:ascii="Arial" w:hAnsi="Arial" w:cs="Arial"/>
          <w:lang w:val="en-US"/>
        </w:rPr>
      </w:pPr>
      <w:r>
        <w:rPr>
          <w:rFonts w:ascii="Arial" w:hAnsi="Arial" w:cs="Arial"/>
          <w:lang w:val="en-US"/>
        </w:rPr>
        <w:t>Ms. Mariyam, IBHA JALEEL (Maldives)</w:t>
      </w:r>
    </w:p>
    <w:p w14:paraId="670269C3" w14:textId="13269993" w:rsidR="00B35082" w:rsidRPr="00B35082" w:rsidRDefault="00B35082" w:rsidP="00B35082">
      <w:pPr>
        <w:pStyle w:val="BodyText"/>
        <w:tabs>
          <w:tab w:val="left" w:pos="1271"/>
        </w:tabs>
        <w:spacing w:before="57"/>
        <w:ind w:right="1501"/>
        <w:rPr>
          <w:i/>
          <w:iCs/>
        </w:rPr>
      </w:pPr>
      <w:r w:rsidRPr="00B35082">
        <w:rPr>
          <w:i/>
          <w:iCs/>
          <w:spacing w:val="-2"/>
        </w:rPr>
        <w:t>Note:</w:t>
      </w:r>
      <w:r w:rsidRPr="00B35082">
        <w:rPr>
          <w:i/>
          <w:iCs/>
        </w:rPr>
        <w:t xml:space="preserve"> The</w:t>
      </w:r>
      <w:r w:rsidRPr="00B35082">
        <w:rPr>
          <w:i/>
          <w:iCs/>
          <w:spacing w:val="-2"/>
        </w:rPr>
        <w:t xml:space="preserve"> </w:t>
      </w:r>
      <w:r w:rsidRPr="00B35082">
        <w:rPr>
          <w:i/>
          <w:iCs/>
        </w:rPr>
        <w:t>topics</w:t>
      </w:r>
      <w:r w:rsidRPr="00B35082">
        <w:rPr>
          <w:i/>
          <w:iCs/>
          <w:spacing w:val="-2"/>
        </w:rPr>
        <w:t xml:space="preserve"> </w:t>
      </w:r>
      <w:r w:rsidRPr="00B35082">
        <w:rPr>
          <w:i/>
          <w:iCs/>
        </w:rPr>
        <w:t>listed</w:t>
      </w:r>
      <w:r w:rsidRPr="00B35082">
        <w:rPr>
          <w:i/>
          <w:iCs/>
          <w:spacing w:val="-3"/>
        </w:rPr>
        <w:t xml:space="preserve"> </w:t>
      </w:r>
      <w:r w:rsidRPr="00B35082">
        <w:rPr>
          <w:i/>
          <w:iCs/>
        </w:rPr>
        <w:t>are</w:t>
      </w:r>
      <w:r w:rsidRPr="00B35082">
        <w:rPr>
          <w:i/>
          <w:iCs/>
          <w:spacing w:val="-1"/>
        </w:rPr>
        <w:t xml:space="preserve"> </w:t>
      </w:r>
      <w:r w:rsidRPr="00B35082">
        <w:rPr>
          <w:i/>
          <w:iCs/>
        </w:rPr>
        <w:t>the</w:t>
      </w:r>
      <w:r w:rsidRPr="00B35082">
        <w:rPr>
          <w:i/>
          <w:iCs/>
          <w:spacing w:val="-5"/>
        </w:rPr>
        <w:t xml:space="preserve"> </w:t>
      </w:r>
      <w:r w:rsidRPr="00B35082">
        <w:rPr>
          <w:i/>
          <w:iCs/>
        </w:rPr>
        <w:t>topics</w:t>
      </w:r>
      <w:r w:rsidRPr="00B35082">
        <w:rPr>
          <w:i/>
          <w:iCs/>
          <w:spacing w:val="-2"/>
        </w:rPr>
        <w:t xml:space="preserve"> </w:t>
      </w:r>
      <w:r w:rsidRPr="00B35082">
        <w:rPr>
          <w:i/>
          <w:iCs/>
        </w:rPr>
        <w:t>proposed</w:t>
      </w:r>
      <w:r w:rsidRPr="00B35082">
        <w:rPr>
          <w:i/>
          <w:iCs/>
          <w:spacing w:val="-2"/>
        </w:rPr>
        <w:t xml:space="preserve"> </w:t>
      </w:r>
      <w:r w:rsidRPr="00B35082">
        <w:rPr>
          <w:i/>
          <w:iCs/>
        </w:rPr>
        <w:t>to</w:t>
      </w:r>
      <w:r w:rsidRPr="00B35082">
        <w:rPr>
          <w:i/>
          <w:iCs/>
          <w:spacing w:val="-1"/>
        </w:rPr>
        <w:t xml:space="preserve"> </w:t>
      </w:r>
      <w:r w:rsidRPr="00B35082">
        <w:rPr>
          <w:i/>
          <w:iCs/>
        </w:rPr>
        <w:t>be</w:t>
      </w:r>
      <w:r w:rsidRPr="00B35082">
        <w:rPr>
          <w:i/>
          <w:iCs/>
          <w:spacing w:val="-1"/>
        </w:rPr>
        <w:t xml:space="preserve"> </w:t>
      </w:r>
      <w:r w:rsidRPr="00B35082">
        <w:rPr>
          <w:i/>
          <w:iCs/>
        </w:rPr>
        <w:t>covered</w:t>
      </w:r>
      <w:r w:rsidRPr="00B35082">
        <w:rPr>
          <w:i/>
          <w:iCs/>
          <w:spacing w:val="-3"/>
        </w:rPr>
        <w:t xml:space="preserve"> </w:t>
      </w:r>
      <w:r w:rsidRPr="00B35082">
        <w:rPr>
          <w:i/>
          <w:iCs/>
        </w:rPr>
        <w:t>each</w:t>
      </w:r>
      <w:r w:rsidRPr="00B35082">
        <w:rPr>
          <w:i/>
          <w:iCs/>
          <w:spacing w:val="-3"/>
        </w:rPr>
        <w:t xml:space="preserve"> </w:t>
      </w:r>
      <w:r w:rsidRPr="00B35082">
        <w:rPr>
          <w:i/>
          <w:iCs/>
        </w:rPr>
        <w:t>day.</w:t>
      </w:r>
      <w:r w:rsidRPr="00B35082">
        <w:rPr>
          <w:i/>
          <w:iCs/>
          <w:spacing w:val="-4"/>
        </w:rPr>
        <w:t xml:space="preserve"> </w:t>
      </w:r>
      <w:r w:rsidRPr="00B35082">
        <w:rPr>
          <w:i/>
          <w:iCs/>
        </w:rPr>
        <w:t>The</w:t>
      </w:r>
      <w:r w:rsidRPr="00B35082">
        <w:rPr>
          <w:i/>
          <w:iCs/>
          <w:spacing w:val="-4"/>
        </w:rPr>
        <w:t xml:space="preserve"> </w:t>
      </w:r>
      <w:r w:rsidRPr="00B35082">
        <w:rPr>
          <w:i/>
          <w:iCs/>
        </w:rPr>
        <w:t>time</w:t>
      </w:r>
      <w:r w:rsidRPr="00B35082">
        <w:rPr>
          <w:i/>
          <w:iCs/>
          <w:spacing w:val="-1"/>
        </w:rPr>
        <w:t xml:space="preserve"> </w:t>
      </w:r>
      <w:r w:rsidRPr="00B35082">
        <w:rPr>
          <w:i/>
          <w:iCs/>
        </w:rPr>
        <w:t>allocated</w:t>
      </w:r>
      <w:r w:rsidRPr="00B35082">
        <w:rPr>
          <w:i/>
          <w:iCs/>
          <w:spacing w:val="-3"/>
        </w:rPr>
        <w:t xml:space="preserve"> </w:t>
      </w:r>
      <w:r w:rsidRPr="00B35082">
        <w:rPr>
          <w:i/>
          <w:iCs/>
        </w:rPr>
        <w:t>to</w:t>
      </w:r>
      <w:r w:rsidRPr="00B35082">
        <w:rPr>
          <w:i/>
          <w:iCs/>
          <w:spacing w:val="-1"/>
        </w:rPr>
        <w:t xml:space="preserve"> </w:t>
      </w:r>
      <w:r w:rsidRPr="00B35082">
        <w:rPr>
          <w:i/>
          <w:iCs/>
        </w:rPr>
        <w:t>each topic, as well as the timing of breaks, may vary.</w:t>
      </w:r>
    </w:p>
    <w:p w14:paraId="6EE9B114" w14:textId="667BD5C6" w:rsidR="00FC41AC" w:rsidRDefault="00FC41AC">
      <w:pPr>
        <w:rPr>
          <w:rFonts w:ascii="Arial" w:hAnsi="Arial" w:cs="Arial"/>
          <w:lang w:val="en-US"/>
        </w:rPr>
      </w:pPr>
      <w:r>
        <w:rPr>
          <w:rFonts w:ascii="Arial" w:hAnsi="Arial" w:cs="Arial"/>
          <w:lang w:val="en-US"/>
        </w:rPr>
        <w:br w:type="page"/>
      </w:r>
    </w:p>
    <w:p w14:paraId="37C4FEE5" w14:textId="77777777" w:rsidR="00B35082" w:rsidRDefault="00B35082" w:rsidP="00646B85">
      <w:pPr>
        <w:rPr>
          <w:rFonts w:ascii="Arial" w:hAnsi="Arial" w:cs="Arial"/>
          <w:lang w:val="en-US"/>
        </w:rPr>
      </w:pPr>
    </w:p>
    <w:tbl>
      <w:tblPr>
        <w:tblStyle w:val="TableGrid"/>
        <w:tblW w:w="0" w:type="auto"/>
        <w:tblLook w:val="04A0" w:firstRow="1" w:lastRow="0" w:firstColumn="1" w:lastColumn="0" w:noHBand="0" w:noVBand="1"/>
      </w:tblPr>
      <w:tblGrid>
        <w:gridCol w:w="1980"/>
        <w:gridCol w:w="6095"/>
        <w:gridCol w:w="2381"/>
      </w:tblGrid>
      <w:tr w:rsidR="003C066D" w14:paraId="4031A265" w14:textId="77777777" w:rsidTr="4BD2C01F">
        <w:tc>
          <w:tcPr>
            <w:tcW w:w="10456" w:type="dxa"/>
            <w:gridSpan w:val="3"/>
            <w:shd w:val="clear" w:color="auto" w:fill="BDD6EE" w:themeFill="accent5" w:themeFillTint="66"/>
          </w:tcPr>
          <w:p w14:paraId="05A258B4" w14:textId="49C1FDB2" w:rsidR="00AD7390" w:rsidRPr="00D0026C" w:rsidRDefault="003C066D" w:rsidP="00AD7390">
            <w:pPr>
              <w:spacing w:line="480" w:lineRule="auto"/>
              <w:rPr>
                <w:rFonts w:ascii="Arial" w:hAnsi="Arial" w:cs="Arial"/>
                <w:b/>
                <w:bCs/>
                <w:lang w:val="en-US"/>
              </w:rPr>
            </w:pPr>
            <w:r w:rsidRPr="00D0026C">
              <w:rPr>
                <w:rFonts w:ascii="Arial" w:hAnsi="Arial" w:cs="Arial"/>
                <w:b/>
                <w:bCs/>
                <w:lang w:val="en-US"/>
              </w:rPr>
              <w:t xml:space="preserve">Day 1 </w:t>
            </w:r>
            <w:r w:rsidR="005B5AC0">
              <w:rPr>
                <w:rFonts w:ascii="Arial" w:hAnsi="Arial" w:cs="Arial"/>
                <w:b/>
                <w:bCs/>
                <w:lang w:val="en-US"/>
              </w:rPr>
              <w:t>–</w:t>
            </w:r>
            <w:r w:rsidRPr="00D0026C">
              <w:rPr>
                <w:rFonts w:ascii="Arial" w:hAnsi="Arial" w:cs="Arial"/>
                <w:b/>
                <w:bCs/>
                <w:lang w:val="en-US"/>
              </w:rPr>
              <w:t xml:space="preserve"> </w:t>
            </w:r>
            <w:r w:rsidR="00741462">
              <w:rPr>
                <w:rFonts w:ascii="Arial" w:hAnsi="Arial" w:cs="Arial"/>
                <w:b/>
                <w:bCs/>
                <w:lang w:val="en-US"/>
              </w:rPr>
              <w:t>19 November 2024</w:t>
            </w:r>
          </w:p>
        </w:tc>
      </w:tr>
      <w:tr w:rsidR="008105A7" w14:paraId="023576C4" w14:textId="77777777" w:rsidTr="4BD2C01F">
        <w:tc>
          <w:tcPr>
            <w:tcW w:w="1980" w:type="dxa"/>
          </w:tcPr>
          <w:p w14:paraId="7570CDC0" w14:textId="5AACAE2E" w:rsidR="008105A7" w:rsidRDefault="00741462" w:rsidP="00AD7390">
            <w:pPr>
              <w:spacing w:line="360" w:lineRule="auto"/>
              <w:jc w:val="center"/>
              <w:rPr>
                <w:rFonts w:ascii="Arial" w:hAnsi="Arial" w:cs="Arial"/>
                <w:lang w:val="en-US"/>
              </w:rPr>
            </w:pPr>
            <w:r>
              <w:rPr>
                <w:rFonts w:ascii="Arial" w:hAnsi="Arial" w:cs="Arial"/>
                <w:lang w:val="en-US"/>
              </w:rPr>
              <w:t>9</w:t>
            </w:r>
            <w:r w:rsidR="00882815">
              <w:rPr>
                <w:rFonts w:ascii="Arial" w:hAnsi="Arial" w:cs="Arial"/>
                <w:lang w:val="en-US"/>
              </w:rPr>
              <w:t>h</w:t>
            </w:r>
            <w:r w:rsidR="009850AC">
              <w:rPr>
                <w:rFonts w:ascii="Arial" w:hAnsi="Arial" w:cs="Arial"/>
                <w:lang w:val="en-US"/>
              </w:rPr>
              <w:t>0</w:t>
            </w:r>
            <w:r>
              <w:rPr>
                <w:rFonts w:ascii="Arial" w:hAnsi="Arial" w:cs="Arial"/>
                <w:lang w:val="en-US"/>
              </w:rPr>
              <w:t>0</w:t>
            </w:r>
            <w:r w:rsidR="00882815">
              <w:rPr>
                <w:rFonts w:ascii="Arial" w:hAnsi="Arial" w:cs="Arial"/>
                <w:lang w:val="en-US"/>
              </w:rPr>
              <w:t xml:space="preserve">- </w:t>
            </w:r>
            <w:r>
              <w:rPr>
                <w:rFonts w:ascii="Arial" w:hAnsi="Arial" w:cs="Arial"/>
                <w:lang w:val="en-US"/>
              </w:rPr>
              <w:t>9</w:t>
            </w:r>
            <w:r w:rsidR="00882815">
              <w:rPr>
                <w:rFonts w:ascii="Arial" w:hAnsi="Arial" w:cs="Arial"/>
                <w:lang w:val="en-US"/>
              </w:rPr>
              <w:t>h</w:t>
            </w:r>
            <w:r w:rsidR="009850AC">
              <w:rPr>
                <w:rFonts w:ascii="Arial" w:hAnsi="Arial" w:cs="Arial"/>
                <w:lang w:val="en-US"/>
              </w:rPr>
              <w:t>1</w:t>
            </w:r>
            <w:r>
              <w:rPr>
                <w:rFonts w:ascii="Arial" w:hAnsi="Arial" w:cs="Arial"/>
                <w:lang w:val="en-US"/>
              </w:rPr>
              <w:t>5</w:t>
            </w:r>
          </w:p>
          <w:p w14:paraId="4B2FCE96" w14:textId="7F9943D4" w:rsidR="00882815" w:rsidRDefault="00882815" w:rsidP="00AD7390">
            <w:pPr>
              <w:spacing w:line="360" w:lineRule="auto"/>
              <w:jc w:val="center"/>
              <w:rPr>
                <w:rFonts w:ascii="Arial" w:hAnsi="Arial" w:cs="Arial"/>
                <w:lang w:val="en-US"/>
              </w:rPr>
            </w:pPr>
            <w:r w:rsidRPr="4BD2C01F">
              <w:rPr>
                <w:rFonts w:ascii="Arial" w:hAnsi="Arial" w:cs="Arial"/>
                <w:lang w:val="en-US"/>
              </w:rPr>
              <w:t>(</w:t>
            </w:r>
            <w:r w:rsidR="00741462">
              <w:rPr>
                <w:rFonts w:ascii="Arial" w:hAnsi="Arial" w:cs="Arial"/>
                <w:lang w:val="en-US"/>
              </w:rPr>
              <w:t>15</w:t>
            </w:r>
            <w:r w:rsidRPr="4BD2C01F">
              <w:rPr>
                <w:rFonts w:ascii="Arial" w:hAnsi="Arial" w:cs="Arial"/>
                <w:lang w:val="en-US"/>
              </w:rPr>
              <w:t xml:space="preserve"> min)</w:t>
            </w:r>
          </w:p>
        </w:tc>
        <w:tc>
          <w:tcPr>
            <w:tcW w:w="6095" w:type="dxa"/>
          </w:tcPr>
          <w:p w14:paraId="04153ECA" w14:textId="785850B5" w:rsidR="008105A7" w:rsidRPr="00125993" w:rsidRDefault="00FC2451" w:rsidP="00AD7390">
            <w:pPr>
              <w:spacing w:line="360" w:lineRule="auto"/>
              <w:rPr>
                <w:rFonts w:ascii="Arial" w:hAnsi="Arial" w:cs="Arial"/>
                <w:b/>
                <w:bCs/>
                <w:lang w:val="en-US"/>
              </w:rPr>
            </w:pPr>
            <w:r w:rsidRPr="00125993">
              <w:rPr>
                <w:rFonts w:ascii="Arial" w:hAnsi="Arial" w:cs="Arial"/>
                <w:b/>
                <w:bCs/>
                <w:lang w:val="en-US"/>
              </w:rPr>
              <w:t>Welcome Remarks</w:t>
            </w:r>
          </w:p>
        </w:tc>
        <w:tc>
          <w:tcPr>
            <w:tcW w:w="2381" w:type="dxa"/>
          </w:tcPr>
          <w:p w14:paraId="3E168D3F" w14:textId="5723251D" w:rsidR="008105A7" w:rsidRDefault="000F0CEF" w:rsidP="00AD7390">
            <w:pPr>
              <w:spacing w:line="360" w:lineRule="auto"/>
              <w:rPr>
                <w:rFonts w:ascii="Arial" w:hAnsi="Arial" w:cs="Arial"/>
                <w:lang w:val="en-US"/>
              </w:rPr>
            </w:pPr>
            <w:r>
              <w:rPr>
                <w:rFonts w:ascii="Arial" w:hAnsi="Arial" w:cs="Arial"/>
                <w:lang w:val="en-US"/>
              </w:rPr>
              <w:t xml:space="preserve">Laurent </w:t>
            </w:r>
            <w:proofErr w:type="spellStart"/>
            <w:r>
              <w:rPr>
                <w:rFonts w:ascii="Arial" w:hAnsi="Arial" w:cs="Arial"/>
                <w:lang w:val="en-US"/>
              </w:rPr>
              <w:t>Cytermann</w:t>
            </w:r>
            <w:proofErr w:type="spellEnd"/>
            <w:r w:rsidR="009850AC">
              <w:rPr>
                <w:rFonts w:ascii="Arial" w:hAnsi="Arial" w:cs="Arial"/>
                <w:lang w:val="en-US"/>
              </w:rPr>
              <w:t>, OECD</w:t>
            </w:r>
          </w:p>
        </w:tc>
      </w:tr>
      <w:tr w:rsidR="008105A7" w14:paraId="43059D29" w14:textId="77777777" w:rsidTr="4BD2C01F">
        <w:tc>
          <w:tcPr>
            <w:tcW w:w="1980" w:type="dxa"/>
          </w:tcPr>
          <w:p w14:paraId="1A8EA0DF" w14:textId="2DF3E05B" w:rsidR="00FC2451" w:rsidRDefault="00741462" w:rsidP="00AD7390">
            <w:pPr>
              <w:spacing w:line="360" w:lineRule="auto"/>
              <w:jc w:val="center"/>
              <w:rPr>
                <w:rFonts w:ascii="Arial" w:hAnsi="Arial" w:cs="Arial"/>
                <w:lang w:val="en-US"/>
              </w:rPr>
            </w:pPr>
            <w:bookmarkStart w:id="1" w:name="_Hlk182331035"/>
            <w:r>
              <w:rPr>
                <w:rFonts w:ascii="Arial" w:hAnsi="Arial" w:cs="Arial"/>
                <w:lang w:val="en-US"/>
              </w:rPr>
              <w:t>9</w:t>
            </w:r>
            <w:r w:rsidR="00FC2451">
              <w:rPr>
                <w:rFonts w:ascii="Arial" w:hAnsi="Arial" w:cs="Arial"/>
                <w:lang w:val="en-US"/>
              </w:rPr>
              <w:t>h</w:t>
            </w:r>
            <w:r w:rsidR="009850AC">
              <w:rPr>
                <w:rFonts w:ascii="Arial" w:hAnsi="Arial" w:cs="Arial"/>
                <w:lang w:val="en-US"/>
              </w:rPr>
              <w:t>1</w:t>
            </w:r>
            <w:r>
              <w:rPr>
                <w:rFonts w:ascii="Arial" w:hAnsi="Arial" w:cs="Arial"/>
                <w:lang w:val="en-US"/>
              </w:rPr>
              <w:t>5</w:t>
            </w:r>
            <w:r w:rsidR="00FC2451">
              <w:rPr>
                <w:rFonts w:ascii="Arial" w:hAnsi="Arial" w:cs="Arial"/>
                <w:lang w:val="en-US"/>
              </w:rPr>
              <w:t xml:space="preserve">- </w:t>
            </w:r>
            <w:r>
              <w:rPr>
                <w:rFonts w:ascii="Arial" w:hAnsi="Arial" w:cs="Arial"/>
                <w:lang w:val="en-US"/>
              </w:rPr>
              <w:t>10</w:t>
            </w:r>
            <w:r w:rsidR="00FC2451">
              <w:rPr>
                <w:rFonts w:ascii="Arial" w:hAnsi="Arial" w:cs="Arial"/>
                <w:lang w:val="en-US"/>
              </w:rPr>
              <w:t>h</w:t>
            </w:r>
            <w:r w:rsidR="009850AC">
              <w:rPr>
                <w:rFonts w:ascii="Arial" w:hAnsi="Arial" w:cs="Arial"/>
                <w:lang w:val="en-US"/>
              </w:rPr>
              <w:t>30</w:t>
            </w:r>
          </w:p>
          <w:p w14:paraId="5819FE9D" w14:textId="0D3D5687" w:rsidR="008105A7" w:rsidRDefault="00FC2451" w:rsidP="00AD7390">
            <w:pPr>
              <w:spacing w:line="360" w:lineRule="auto"/>
              <w:jc w:val="center"/>
              <w:rPr>
                <w:rFonts w:ascii="Arial" w:hAnsi="Arial" w:cs="Arial"/>
                <w:lang w:val="en-US"/>
              </w:rPr>
            </w:pPr>
            <w:r>
              <w:rPr>
                <w:rFonts w:ascii="Arial" w:hAnsi="Arial" w:cs="Arial"/>
                <w:lang w:val="en-US"/>
              </w:rPr>
              <w:t>(</w:t>
            </w:r>
            <w:r w:rsidR="009850AC">
              <w:rPr>
                <w:rFonts w:ascii="Arial" w:hAnsi="Arial" w:cs="Arial"/>
                <w:lang w:val="en-US"/>
              </w:rPr>
              <w:t>75</w:t>
            </w:r>
            <w:r>
              <w:rPr>
                <w:rFonts w:ascii="Arial" w:hAnsi="Arial" w:cs="Arial"/>
                <w:lang w:val="en-US"/>
              </w:rPr>
              <w:t xml:space="preserve"> min)</w:t>
            </w:r>
          </w:p>
        </w:tc>
        <w:tc>
          <w:tcPr>
            <w:tcW w:w="6095" w:type="dxa"/>
          </w:tcPr>
          <w:p w14:paraId="61145B07" w14:textId="217A4065" w:rsidR="008105A7" w:rsidRDefault="00741462" w:rsidP="00AD7390">
            <w:pPr>
              <w:spacing w:line="360" w:lineRule="auto"/>
              <w:rPr>
                <w:rFonts w:ascii="Arial" w:hAnsi="Arial" w:cs="Arial"/>
                <w:b/>
                <w:bCs/>
                <w:lang w:val="en-US"/>
              </w:rPr>
            </w:pPr>
            <w:r>
              <w:rPr>
                <w:rFonts w:ascii="Arial" w:hAnsi="Arial" w:cs="Arial"/>
                <w:b/>
                <w:bCs/>
                <w:lang w:val="en-US"/>
              </w:rPr>
              <w:t xml:space="preserve">Session 1: Benefits of CbC </w:t>
            </w:r>
            <w:r w:rsidR="001262A9">
              <w:rPr>
                <w:rFonts w:ascii="Arial" w:hAnsi="Arial" w:cs="Arial"/>
                <w:b/>
                <w:bCs/>
                <w:lang w:val="en-US"/>
              </w:rPr>
              <w:t>reporting d</w:t>
            </w:r>
            <w:r>
              <w:rPr>
                <w:rFonts w:ascii="Arial" w:hAnsi="Arial" w:cs="Arial"/>
                <w:b/>
                <w:bCs/>
                <w:lang w:val="en-US"/>
              </w:rPr>
              <w:t>ata</w:t>
            </w:r>
          </w:p>
          <w:p w14:paraId="2F62B3D1" w14:textId="6473E73B" w:rsidR="00E1566A" w:rsidRDefault="00E1566A" w:rsidP="00AD7390">
            <w:pPr>
              <w:spacing w:line="360" w:lineRule="auto"/>
              <w:rPr>
                <w:rFonts w:ascii="Arial" w:hAnsi="Arial" w:cs="Arial"/>
                <w:b/>
                <w:bCs/>
                <w:lang w:val="en-US"/>
              </w:rPr>
            </w:pPr>
            <w:r>
              <w:rPr>
                <w:rFonts w:ascii="Arial" w:hAnsi="Arial" w:cs="Arial"/>
                <w:b/>
                <w:bCs/>
                <w:lang w:val="en-US"/>
              </w:rPr>
              <w:t xml:space="preserve">Target Audience: </w:t>
            </w:r>
          </w:p>
          <w:p w14:paraId="1D52F03E" w14:textId="02CDDEF8" w:rsidR="00FE5013" w:rsidRDefault="00FE5013" w:rsidP="00FE5013">
            <w:pPr>
              <w:pStyle w:val="ListParagraph"/>
              <w:numPr>
                <w:ilvl w:val="0"/>
                <w:numId w:val="6"/>
              </w:numPr>
              <w:spacing w:line="360" w:lineRule="auto"/>
              <w:rPr>
                <w:rFonts w:ascii="Arial" w:hAnsi="Arial" w:cs="Arial"/>
                <w:lang w:val="en-US"/>
              </w:rPr>
            </w:pPr>
            <w:r w:rsidRPr="00FE5013">
              <w:rPr>
                <w:rFonts w:ascii="Arial" w:hAnsi="Arial" w:cs="Arial"/>
                <w:lang w:val="en-US"/>
              </w:rPr>
              <w:t>All jurisdictions</w:t>
            </w:r>
            <w:r>
              <w:rPr>
                <w:rFonts w:ascii="Arial" w:hAnsi="Arial" w:cs="Arial"/>
                <w:lang w:val="en-US"/>
              </w:rPr>
              <w:t>.</w:t>
            </w:r>
          </w:p>
          <w:p w14:paraId="49B86397" w14:textId="3624A5B9" w:rsidR="00FE5013" w:rsidRDefault="00FE5013" w:rsidP="00FE5013">
            <w:pPr>
              <w:pStyle w:val="ListParagraph"/>
              <w:numPr>
                <w:ilvl w:val="0"/>
                <w:numId w:val="6"/>
              </w:numPr>
              <w:spacing w:line="360" w:lineRule="auto"/>
              <w:rPr>
                <w:rFonts w:ascii="Arial" w:hAnsi="Arial" w:cs="Arial"/>
                <w:lang w:val="en-US"/>
              </w:rPr>
            </w:pPr>
            <w:bookmarkStart w:id="2" w:name="_Hlk181094985"/>
            <w:r>
              <w:rPr>
                <w:rFonts w:ascii="Arial" w:hAnsi="Arial" w:cs="Arial"/>
                <w:lang w:val="en-US"/>
              </w:rPr>
              <w:t xml:space="preserve">For jurisdictions where little to no implementation progress has been made, this session is targeted at </w:t>
            </w:r>
            <w:r w:rsidR="00461178">
              <w:rPr>
                <w:rFonts w:ascii="Arial" w:hAnsi="Arial" w:cs="Arial"/>
                <w:lang w:val="en-US"/>
              </w:rPr>
              <w:t xml:space="preserve">officials with responsibility for international taxation and BEPS implementation. </w:t>
            </w:r>
          </w:p>
          <w:p w14:paraId="16B65897" w14:textId="053C6179" w:rsidR="00FE5013" w:rsidRPr="00FE5013" w:rsidRDefault="00FE5013" w:rsidP="00FE5013">
            <w:pPr>
              <w:pStyle w:val="ListParagraph"/>
              <w:numPr>
                <w:ilvl w:val="0"/>
                <w:numId w:val="6"/>
              </w:numPr>
              <w:spacing w:line="360" w:lineRule="auto"/>
              <w:rPr>
                <w:rFonts w:ascii="Arial" w:hAnsi="Arial" w:cs="Arial"/>
                <w:lang w:val="en-US"/>
              </w:rPr>
            </w:pPr>
            <w:r>
              <w:rPr>
                <w:rFonts w:ascii="Arial" w:hAnsi="Arial" w:cs="Arial"/>
                <w:lang w:val="en-US"/>
              </w:rPr>
              <w:t xml:space="preserve">For jurisdictions that have implemented the </w:t>
            </w:r>
            <w:r w:rsidR="001262A9">
              <w:rPr>
                <w:rFonts w:ascii="Arial" w:hAnsi="Arial" w:cs="Arial"/>
                <w:lang w:val="en-US"/>
              </w:rPr>
              <w:t>m</w:t>
            </w:r>
            <w:r>
              <w:rPr>
                <w:rFonts w:ascii="Arial" w:hAnsi="Arial" w:cs="Arial"/>
                <w:lang w:val="en-US"/>
              </w:rPr>
              <w:t xml:space="preserve">inimum </w:t>
            </w:r>
            <w:r w:rsidR="001262A9">
              <w:rPr>
                <w:rFonts w:ascii="Arial" w:hAnsi="Arial" w:cs="Arial"/>
                <w:lang w:val="en-US"/>
              </w:rPr>
              <w:t>s</w:t>
            </w:r>
            <w:r>
              <w:rPr>
                <w:rFonts w:ascii="Arial" w:hAnsi="Arial" w:cs="Arial"/>
                <w:lang w:val="en-US"/>
              </w:rPr>
              <w:t>tandard, auditors, risk assessors, and any tax administration staff with access to CbC reporting data will benefit from this session.</w:t>
            </w:r>
          </w:p>
          <w:bookmarkEnd w:id="2"/>
          <w:p w14:paraId="5F89CEFE" w14:textId="77777777" w:rsidR="00E1566A" w:rsidRDefault="00E1566A" w:rsidP="00AD7390">
            <w:pPr>
              <w:spacing w:line="360" w:lineRule="auto"/>
              <w:rPr>
                <w:rFonts w:ascii="Arial" w:hAnsi="Arial" w:cs="Arial"/>
                <w:b/>
                <w:bCs/>
                <w:lang w:val="en-US"/>
              </w:rPr>
            </w:pPr>
            <w:r>
              <w:rPr>
                <w:rFonts w:ascii="Arial" w:hAnsi="Arial" w:cs="Arial"/>
                <w:b/>
                <w:bCs/>
                <w:lang w:val="en-US"/>
              </w:rPr>
              <w:t xml:space="preserve">Objectives: </w:t>
            </w:r>
          </w:p>
          <w:p w14:paraId="7F4049C5" w14:textId="77777777" w:rsidR="00FE5013" w:rsidRDefault="00FE5013" w:rsidP="00FE5013">
            <w:pPr>
              <w:pStyle w:val="ListParagraph"/>
              <w:numPr>
                <w:ilvl w:val="0"/>
                <w:numId w:val="6"/>
              </w:numPr>
              <w:spacing w:line="360" w:lineRule="auto"/>
              <w:rPr>
                <w:rFonts w:ascii="Arial" w:hAnsi="Arial" w:cs="Arial"/>
                <w:lang w:val="en-US"/>
              </w:rPr>
            </w:pPr>
            <w:r>
              <w:rPr>
                <w:rFonts w:ascii="Arial" w:hAnsi="Arial" w:cs="Arial"/>
                <w:lang w:val="en-US"/>
              </w:rPr>
              <w:t xml:space="preserve">To </w:t>
            </w:r>
            <w:bookmarkStart w:id="3" w:name="_Hlk181096328"/>
            <w:r>
              <w:rPr>
                <w:rFonts w:ascii="Arial" w:hAnsi="Arial" w:cs="Arial"/>
                <w:lang w:val="en-US"/>
              </w:rPr>
              <w:t xml:space="preserve">provide a detailed overview of the benefits that the data contained in CbC </w:t>
            </w:r>
            <w:r w:rsidR="001262A9">
              <w:rPr>
                <w:rFonts w:ascii="Arial" w:hAnsi="Arial" w:cs="Arial"/>
                <w:lang w:val="en-US"/>
              </w:rPr>
              <w:t>r</w:t>
            </w:r>
            <w:r>
              <w:rPr>
                <w:rFonts w:ascii="Arial" w:hAnsi="Arial" w:cs="Arial"/>
                <w:lang w:val="en-US"/>
              </w:rPr>
              <w:t>eports can provide to tax administrations</w:t>
            </w:r>
            <w:r w:rsidR="001262A9">
              <w:rPr>
                <w:rFonts w:ascii="Arial" w:hAnsi="Arial" w:cs="Arial"/>
                <w:lang w:val="en-US"/>
              </w:rPr>
              <w:t>, and the tools and support that will be made available to a tax administration in using CbC reports in undertaking a risk assessment</w:t>
            </w:r>
            <w:r>
              <w:rPr>
                <w:rFonts w:ascii="Arial" w:hAnsi="Arial" w:cs="Arial"/>
                <w:lang w:val="en-US"/>
              </w:rPr>
              <w:t>.</w:t>
            </w:r>
            <w:bookmarkEnd w:id="3"/>
          </w:p>
          <w:p w14:paraId="7849BCD4" w14:textId="33DD4B61" w:rsidR="001E1C0D" w:rsidRPr="00FE5013" w:rsidRDefault="001E1C0D" w:rsidP="00FE5013">
            <w:pPr>
              <w:pStyle w:val="ListParagraph"/>
              <w:numPr>
                <w:ilvl w:val="0"/>
                <w:numId w:val="6"/>
              </w:numPr>
              <w:spacing w:line="360" w:lineRule="auto"/>
              <w:rPr>
                <w:rFonts w:ascii="Arial" w:hAnsi="Arial" w:cs="Arial"/>
                <w:lang w:val="en-US"/>
              </w:rPr>
            </w:pPr>
            <w:r>
              <w:rPr>
                <w:rFonts w:ascii="Arial" w:hAnsi="Arial" w:cs="Arial"/>
                <w:lang w:val="en-US"/>
              </w:rPr>
              <w:t>To provide input from subject matter experts in jurisdictions that have fully implemented the Action 13 Minimum Standard.</w:t>
            </w:r>
          </w:p>
        </w:tc>
        <w:tc>
          <w:tcPr>
            <w:tcW w:w="2381" w:type="dxa"/>
          </w:tcPr>
          <w:p w14:paraId="5B3E78AB" w14:textId="77777777" w:rsidR="008105A7" w:rsidRDefault="001E001F" w:rsidP="00AD7390">
            <w:pPr>
              <w:spacing w:line="360" w:lineRule="auto"/>
              <w:rPr>
                <w:rFonts w:ascii="Arial" w:hAnsi="Arial" w:cs="Arial"/>
                <w:lang w:val="en-US"/>
              </w:rPr>
            </w:pPr>
            <w:r>
              <w:rPr>
                <w:rFonts w:ascii="Arial" w:hAnsi="Arial" w:cs="Arial"/>
                <w:lang w:val="en-US"/>
              </w:rPr>
              <w:t>Mark Johnson, OECD</w:t>
            </w:r>
          </w:p>
          <w:p w14:paraId="2E4AD09B" w14:textId="77777777" w:rsidR="000F0CEF" w:rsidRDefault="000F0CEF" w:rsidP="00AD7390">
            <w:pPr>
              <w:spacing w:line="360" w:lineRule="auto"/>
              <w:rPr>
                <w:rFonts w:ascii="Arial" w:hAnsi="Arial" w:cs="Arial"/>
                <w:lang w:val="en-US"/>
              </w:rPr>
            </w:pPr>
          </w:p>
          <w:p w14:paraId="2DF7561E" w14:textId="7173D334" w:rsidR="0081092F" w:rsidRDefault="00B00258" w:rsidP="00D86E85">
            <w:pPr>
              <w:spacing w:line="360" w:lineRule="auto"/>
              <w:rPr>
                <w:rFonts w:ascii="Arial" w:hAnsi="Arial" w:cs="Arial"/>
                <w:lang w:val="en-US"/>
              </w:rPr>
            </w:pPr>
            <w:r w:rsidRPr="00B00258">
              <w:rPr>
                <w:rFonts w:ascii="Arial" w:hAnsi="Arial" w:cs="Arial"/>
                <w:lang w:val="en-US"/>
              </w:rPr>
              <w:t>Suhani Anuar</w:t>
            </w:r>
            <w:r w:rsidR="00D86E85">
              <w:rPr>
                <w:rFonts w:ascii="Arial" w:hAnsi="Arial" w:cs="Arial"/>
                <w:lang w:val="en-US"/>
              </w:rPr>
              <w:t xml:space="preserve">, </w:t>
            </w:r>
            <w:r>
              <w:rPr>
                <w:rFonts w:ascii="Arial" w:hAnsi="Arial" w:cs="Arial"/>
                <w:lang w:val="en-US"/>
              </w:rPr>
              <w:t>(Malaysia)</w:t>
            </w:r>
          </w:p>
          <w:p w14:paraId="5459BE04" w14:textId="77777777" w:rsidR="0081092F" w:rsidRDefault="0081092F" w:rsidP="00D86E85">
            <w:pPr>
              <w:spacing w:line="360" w:lineRule="auto"/>
              <w:rPr>
                <w:rFonts w:ascii="Arial" w:hAnsi="Arial" w:cs="Arial"/>
                <w:lang w:val="en-US"/>
              </w:rPr>
            </w:pPr>
          </w:p>
          <w:p w14:paraId="04AF7D91" w14:textId="3D298038" w:rsidR="0081092F" w:rsidRDefault="00EC7AA5" w:rsidP="00D86E85">
            <w:pPr>
              <w:spacing w:line="360" w:lineRule="auto"/>
              <w:rPr>
                <w:rFonts w:ascii="Arial" w:hAnsi="Arial" w:cs="Arial"/>
                <w:lang w:val="en-US"/>
              </w:rPr>
            </w:pPr>
            <w:r>
              <w:rPr>
                <w:rFonts w:ascii="Arial" w:hAnsi="Arial" w:cs="Arial"/>
                <w:lang w:val="en-US"/>
              </w:rPr>
              <w:t xml:space="preserve">Hannah </w:t>
            </w:r>
            <w:r w:rsidR="00D86E85">
              <w:rPr>
                <w:rFonts w:ascii="Arial" w:hAnsi="Arial" w:cs="Arial"/>
                <w:lang w:val="en-US"/>
              </w:rPr>
              <w:t xml:space="preserve">Hashemi, </w:t>
            </w:r>
            <w:r>
              <w:rPr>
                <w:rFonts w:ascii="Arial" w:hAnsi="Arial" w:cs="Arial"/>
                <w:lang w:val="en-US"/>
              </w:rPr>
              <w:t>(UK)</w:t>
            </w:r>
          </w:p>
          <w:p w14:paraId="0608CA66" w14:textId="77777777" w:rsidR="001E1C0D" w:rsidRDefault="001E1C0D" w:rsidP="00AD7390">
            <w:pPr>
              <w:spacing w:line="360" w:lineRule="auto"/>
              <w:rPr>
                <w:rFonts w:ascii="Arial" w:hAnsi="Arial" w:cs="Arial"/>
                <w:lang w:val="en-US"/>
              </w:rPr>
            </w:pPr>
          </w:p>
          <w:p w14:paraId="1A4961D4" w14:textId="5B3EF171" w:rsidR="0001118F" w:rsidRDefault="00D86E85" w:rsidP="00D86E85">
            <w:pPr>
              <w:spacing w:line="360" w:lineRule="auto"/>
              <w:rPr>
                <w:rFonts w:ascii="Arial" w:hAnsi="Arial" w:cs="Arial"/>
                <w:lang w:val="en-US"/>
              </w:rPr>
            </w:pPr>
            <w:r w:rsidRPr="00D86E85">
              <w:rPr>
                <w:rFonts w:ascii="Arial" w:hAnsi="Arial" w:cs="Arial"/>
                <w:lang w:val="en-US"/>
              </w:rPr>
              <w:t xml:space="preserve">Andreas Rossi </w:t>
            </w:r>
            <w:proofErr w:type="spellStart"/>
            <w:r w:rsidRPr="00D86E85">
              <w:rPr>
                <w:rFonts w:ascii="Arial" w:hAnsi="Arial" w:cs="Arial"/>
                <w:lang w:val="en-US"/>
              </w:rPr>
              <w:t>Dewantara</w:t>
            </w:r>
            <w:proofErr w:type="spellEnd"/>
            <w:r w:rsidRPr="00D86E85">
              <w:rPr>
                <w:rFonts w:ascii="Arial" w:hAnsi="Arial" w:cs="Arial"/>
                <w:lang w:val="en-US"/>
              </w:rPr>
              <w:t xml:space="preserve">, </w:t>
            </w:r>
            <w:r w:rsidR="00EC7AA5">
              <w:rPr>
                <w:rFonts w:ascii="Arial" w:hAnsi="Arial" w:cs="Arial"/>
                <w:lang w:val="en-US"/>
              </w:rPr>
              <w:t>(Indonesia)</w:t>
            </w:r>
          </w:p>
          <w:p w14:paraId="3FDE0228" w14:textId="1DDF41B6" w:rsidR="0001118F" w:rsidRDefault="0001118F" w:rsidP="00AD7390">
            <w:pPr>
              <w:spacing w:line="360" w:lineRule="auto"/>
              <w:rPr>
                <w:rFonts w:ascii="Arial" w:hAnsi="Arial" w:cs="Arial"/>
                <w:lang w:val="en-US"/>
              </w:rPr>
            </w:pPr>
          </w:p>
        </w:tc>
      </w:tr>
      <w:tr w:rsidR="008105A7" w14:paraId="6BB85C3E" w14:textId="77777777" w:rsidTr="4BD2C01F">
        <w:tc>
          <w:tcPr>
            <w:tcW w:w="1980" w:type="dxa"/>
            <w:shd w:val="clear" w:color="auto" w:fill="E2EFD9" w:themeFill="accent6" w:themeFillTint="33"/>
          </w:tcPr>
          <w:p w14:paraId="008C413A" w14:textId="582699B9" w:rsidR="00FC2451" w:rsidRDefault="00741462" w:rsidP="00AD7390">
            <w:pPr>
              <w:spacing w:line="360" w:lineRule="auto"/>
              <w:jc w:val="center"/>
              <w:rPr>
                <w:rFonts w:ascii="Arial" w:hAnsi="Arial" w:cs="Arial"/>
                <w:lang w:val="en-US"/>
              </w:rPr>
            </w:pPr>
            <w:bookmarkStart w:id="4" w:name="_Hlk179206233"/>
            <w:bookmarkEnd w:id="1"/>
            <w:r>
              <w:rPr>
                <w:rFonts w:ascii="Arial" w:hAnsi="Arial" w:cs="Arial"/>
                <w:lang w:val="en-US"/>
              </w:rPr>
              <w:t>10</w:t>
            </w:r>
            <w:r w:rsidR="00FC2451">
              <w:rPr>
                <w:rFonts w:ascii="Arial" w:hAnsi="Arial" w:cs="Arial"/>
                <w:lang w:val="en-US"/>
              </w:rPr>
              <w:t>h</w:t>
            </w:r>
            <w:r w:rsidR="009850AC">
              <w:rPr>
                <w:rFonts w:ascii="Arial" w:hAnsi="Arial" w:cs="Arial"/>
                <w:lang w:val="en-US"/>
              </w:rPr>
              <w:t>30</w:t>
            </w:r>
            <w:r w:rsidR="00FC2451">
              <w:rPr>
                <w:rFonts w:ascii="Arial" w:hAnsi="Arial" w:cs="Arial"/>
                <w:lang w:val="en-US"/>
              </w:rPr>
              <w:t xml:space="preserve">- </w:t>
            </w:r>
            <w:r>
              <w:rPr>
                <w:rFonts w:ascii="Arial" w:hAnsi="Arial" w:cs="Arial"/>
                <w:lang w:val="en-US"/>
              </w:rPr>
              <w:t>10</w:t>
            </w:r>
            <w:r w:rsidR="00FC2451">
              <w:rPr>
                <w:rFonts w:ascii="Arial" w:hAnsi="Arial" w:cs="Arial"/>
                <w:lang w:val="en-US"/>
              </w:rPr>
              <w:t>h</w:t>
            </w:r>
            <w:r w:rsidR="009850AC">
              <w:rPr>
                <w:rFonts w:ascii="Arial" w:hAnsi="Arial" w:cs="Arial"/>
                <w:lang w:val="en-US"/>
              </w:rPr>
              <w:t>45</w:t>
            </w:r>
          </w:p>
          <w:p w14:paraId="215810E5" w14:textId="403625FE" w:rsidR="008105A7" w:rsidRDefault="00FC2451" w:rsidP="00AD7390">
            <w:pPr>
              <w:spacing w:line="360" w:lineRule="auto"/>
              <w:jc w:val="center"/>
              <w:rPr>
                <w:rFonts w:ascii="Arial" w:hAnsi="Arial" w:cs="Arial"/>
                <w:lang w:val="en-US"/>
              </w:rPr>
            </w:pPr>
            <w:r>
              <w:rPr>
                <w:rFonts w:ascii="Arial" w:hAnsi="Arial" w:cs="Arial"/>
                <w:lang w:val="en-US"/>
              </w:rPr>
              <w:t>(</w:t>
            </w:r>
            <w:r w:rsidR="00741462">
              <w:rPr>
                <w:rFonts w:ascii="Arial" w:hAnsi="Arial" w:cs="Arial"/>
                <w:lang w:val="en-US"/>
              </w:rPr>
              <w:t>15</w:t>
            </w:r>
            <w:r>
              <w:rPr>
                <w:rFonts w:ascii="Arial" w:hAnsi="Arial" w:cs="Arial"/>
                <w:lang w:val="en-US"/>
              </w:rPr>
              <w:t xml:space="preserve"> min)</w:t>
            </w:r>
          </w:p>
        </w:tc>
        <w:tc>
          <w:tcPr>
            <w:tcW w:w="6095" w:type="dxa"/>
            <w:shd w:val="clear" w:color="auto" w:fill="E2EFD9" w:themeFill="accent6" w:themeFillTint="33"/>
          </w:tcPr>
          <w:p w14:paraId="4A8CD498" w14:textId="2F1E6065" w:rsidR="008105A7" w:rsidRPr="00125993" w:rsidRDefault="00125993" w:rsidP="00AD7390">
            <w:pPr>
              <w:spacing w:line="360" w:lineRule="auto"/>
              <w:rPr>
                <w:rFonts w:ascii="Arial" w:hAnsi="Arial" w:cs="Arial"/>
                <w:b/>
                <w:bCs/>
                <w:i/>
                <w:iCs/>
                <w:lang w:val="en-US"/>
              </w:rPr>
            </w:pPr>
            <w:r w:rsidRPr="00125993">
              <w:rPr>
                <w:rFonts w:ascii="Arial" w:hAnsi="Arial" w:cs="Arial"/>
                <w:b/>
                <w:bCs/>
                <w:i/>
                <w:iCs/>
                <w:lang w:val="en-US"/>
              </w:rPr>
              <w:t>BREAK</w:t>
            </w:r>
          </w:p>
        </w:tc>
        <w:tc>
          <w:tcPr>
            <w:tcW w:w="2381" w:type="dxa"/>
            <w:shd w:val="clear" w:color="auto" w:fill="E2EFD9" w:themeFill="accent6" w:themeFillTint="33"/>
          </w:tcPr>
          <w:p w14:paraId="17C495ED" w14:textId="77777777" w:rsidR="008105A7" w:rsidRDefault="008105A7" w:rsidP="00AD7390">
            <w:pPr>
              <w:spacing w:line="360" w:lineRule="auto"/>
              <w:rPr>
                <w:rFonts w:ascii="Arial" w:hAnsi="Arial" w:cs="Arial"/>
                <w:lang w:val="en-US"/>
              </w:rPr>
            </w:pPr>
          </w:p>
        </w:tc>
      </w:tr>
      <w:bookmarkEnd w:id="4"/>
      <w:tr w:rsidR="008105A7" w14:paraId="146766AF" w14:textId="77777777" w:rsidTr="4BD2C01F">
        <w:tc>
          <w:tcPr>
            <w:tcW w:w="1980" w:type="dxa"/>
          </w:tcPr>
          <w:p w14:paraId="2D5CCA96" w14:textId="2CD43E91" w:rsidR="00B80286" w:rsidRDefault="00741462" w:rsidP="00AD7390">
            <w:pPr>
              <w:spacing w:line="360" w:lineRule="auto"/>
              <w:jc w:val="center"/>
              <w:rPr>
                <w:rFonts w:ascii="Arial" w:hAnsi="Arial" w:cs="Arial"/>
                <w:lang w:val="en-US"/>
              </w:rPr>
            </w:pPr>
            <w:r>
              <w:rPr>
                <w:rFonts w:ascii="Arial" w:hAnsi="Arial" w:cs="Arial"/>
                <w:lang w:val="en-US"/>
              </w:rPr>
              <w:t>10</w:t>
            </w:r>
            <w:r w:rsidR="00B80286">
              <w:rPr>
                <w:rFonts w:ascii="Arial" w:hAnsi="Arial" w:cs="Arial"/>
                <w:lang w:val="en-US"/>
              </w:rPr>
              <w:t>h</w:t>
            </w:r>
            <w:r w:rsidR="009850AC">
              <w:rPr>
                <w:rFonts w:ascii="Arial" w:hAnsi="Arial" w:cs="Arial"/>
                <w:lang w:val="en-US"/>
              </w:rPr>
              <w:t>45</w:t>
            </w:r>
            <w:r w:rsidR="00B80286">
              <w:rPr>
                <w:rFonts w:ascii="Arial" w:hAnsi="Arial" w:cs="Arial"/>
                <w:lang w:val="en-US"/>
              </w:rPr>
              <w:t xml:space="preserve">- </w:t>
            </w:r>
            <w:r>
              <w:rPr>
                <w:rFonts w:ascii="Arial" w:hAnsi="Arial" w:cs="Arial"/>
                <w:lang w:val="en-US"/>
              </w:rPr>
              <w:t>1</w:t>
            </w:r>
            <w:r w:rsidR="0081092F">
              <w:rPr>
                <w:rFonts w:ascii="Arial" w:hAnsi="Arial" w:cs="Arial"/>
                <w:lang w:val="en-US"/>
              </w:rPr>
              <w:t>2</w:t>
            </w:r>
            <w:r w:rsidR="00B80286">
              <w:rPr>
                <w:rFonts w:ascii="Arial" w:hAnsi="Arial" w:cs="Arial"/>
                <w:lang w:val="en-US"/>
              </w:rPr>
              <w:t>h</w:t>
            </w:r>
            <w:r w:rsidR="0081092F">
              <w:rPr>
                <w:rFonts w:ascii="Arial" w:hAnsi="Arial" w:cs="Arial"/>
                <w:lang w:val="en-US"/>
              </w:rPr>
              <w:t>00</w:t>
            </w:r>
          </w:p>
          <w:p w14:paraId="1AB7AABD" w14:textId="586F6D37" w:rsidR="008105A7" w:rsidRDefault="00B80286" w:rsidP="00AD7390">
            <w:pPr>
              <w:spacing w:line="360" w:lineRule="auto"/>
              <w:jc w:val="center"/>
              <w:rPr>
                <w:rFonts w:ascii="Arial" w:hAnsi="Arial" w:cs="Arial"/>
                <w:lang w:val="en-US"/>
              </w:rPr>
            </w:pPr>
            <w:r>
              <w:rPr>
                <w:rFonts w:ascii="Arial" w:hAnsi="Arial" w:cs="Arial"/>
                <w:lang w:val="en-US"/>
              </w:rPr>
              <w:t>(</w:t>
            </w:r>
            <w:r w:rsidR="0081092F">
              <w:rPr>
                <w:rFonts w:ascii="Arial" w:hAnsi="Arial" w:cs="Arial"/>
                <w:lang w:val="en-US"/>
              </w:rPr>
              <w:t>75</w:t>
            </w:r>
            <w:r>
              <w:rPr>
                <w:rFonts w:ascii="Arial" w:hAnsi="Arial" w:cs="Arial"/>
                <w:lang w:val="en-US"/>
              </w:rPr>
              <w:t xml:space="preserve"> min)</w:t>
            </w:r>
          </w:p>
        </w:tc>
        <w:tc>
          <w:tcPr>
            <w:tcW w:w="6095" w:type="dxa"/>
          </w:tcPr>
          <w:p w14:paraId="673B1C28" w14:textId="2BEBD741" w:rsidR="008105A7" w:rsidRDefault="005B5AC0" w:rsidP="00AD7390">
            <w:pPr>
              <w:spacing w:line="360" w:lineRule="auto"/>
              <w:rPr>
                <w:rFonts w:ascii="Arial" w:hAnsi="Arial" w:cs="Arial"/>
                <w:b/>
                <w:bCs/>
                <w:lang w:val="en-US"/>
              </w:rPr>
            </w:pPr>
            <w:r w:rsidRPr="00B80286">
              <w:rPr>
                <w:rFonts w:ascii="Arial" w:hAnsi="Arial" w:cs="Arial"/>
                <w:b/>
                <w:bCs/>
                <w:lang w:val="en-US"/>
              </w:rPr>
              <w:t xml:space="preserve">Session </w:t>
            </w:r>
            <w:r w:rsidR="00741462">
              <w:rPr>
                <w:rFonts w:ascii="Arial" w:hAnsi="Arial" w:cs="Arial"/>
                <w:b/>
                <w:bCs/>
                <w:lang w:val="en-US"/>
              </w:rPr>
              <w:t>2</w:t>
            </w:r>
            <w:r w:rsidRPr="00B80286">
              <w:rPr>
                <w:rFonts w:ascii="Arial" w:hAnsi="Arial" w:cs="Arial"/>
                <w:b/>
                <w:bCs/>
                <w:lang w:val="en-US"/>
              </w:rPr>
              <w:t>:</w:t>
            </w:r>
            <w:r w:rsidR="00741462">
              <w:rPr>
                <w:rFonts w:ascii="Arial" w:hAnsi="Arial" w:cs="Arial"/>
                <w:b/>
                <w:bCs/>
                <w:lang w:val="en-US"/>
              </w:rPr>
              <w:t xml:space="preserve"> Overview of Action 13 – Master File and Local File</w:t>
            </w:r>
          </w:p>
          <w:p w14:paraId="61B40B0A" w14:textId="77777777" w:rsidR="00E1566A" w:rsidRDefault="00E1566A" w:rsidP="00E1566A">
            <w:pPr>
              <w:spacing w:line="360" w:lineRule="auto"/>
              <w:rPr>
                <w:rFonts w:ascii="Arial" w:hAnsi="Arial" w:cs="Arial"/>
                <w:b/>
                <w:bCs/>
                <w:lang w:val="en-US"/>
              </w:rPr>
            </w:pPr>
            <w:r>
              <w:rPr>
                <w:rFonts w:ascii="Arial" w:hAnsi="Arial" w:cs="Arial"/>
                <w:b/>
                <w:bCs/>
                <w:lang w:val="en-US"/>
              </w:rPr>
              <w:t xml:space="preserve">Target Audience: </w:t>
            </w:r>
          </w:p>
          <w:p w14:paraId="14D4E901" w14:textId="3A277113" w:rsidR="00FE5013" w:rsidRPr="00FE5013" w:rsidRDefault="00FE5013" w:rsidP="00FE5013">
            <w:pPr>
              <w:pStyle w:val="ListParagraph"/>
              <w:numPr>
                <w:ilvl w:val="0"/>
                <w:numId w:val="6"/>
              </w:numPr>
              <w:spacing w:line="360" w:lineRule="auto"/>
              <w:rPr>
                <w:rFonts w:ascii="Arial" w:hAnsi="Arial" w:cs="Arial"/>
                <w:lang w:val="en-US"/>
              </w:rPr>
            </w:pPr>
            <w:r>
              <w:rPr>
                <w:rFonts w:ascii="Arial" w:hAnsi="Arial" w:cs="Arial"/>
                <w:lang w:val="en-US"/>
              </w:rPr>
              <w:t>As above.</w:t>
            </w:r>
          </w:p>
          <w:p w14:paraId="63B7575C" w14:textId="77777777" w:rsidR="00E1566A" w:rsidRDefault="00E1566A" w:rsidP="00E1566A">
            <w:pPr>
              <w:spacing w:line="360" w:lineRule="auto"/>
              <w:rPr>
                <w:rFonts w:ascii="Arial" w:hAnsi="Arial" w:cs="Arial"/>
                <w:b/>
                <w:bCs/>
                <w:lang w:val="en-US"/>
              </w:rPr>
            </w:pPr>
            <w:r>
              <w:rPr>
                <w:rFonts w:ascii="Arial" w:hAnsi="Arial" w:cs="Arial"/>
                <w:b/>
                <w:bCs/>
                <w:lang w:val="en-US"/>
              </w:rPr>
              <w:t>Objectives:</w:t>
            </w:r>
          </w:p>
          <w:p w14:paraId="131DE403" w14:textId="7D3E3C45" w:rsidR="00FE5013" w:rsidRPr="00FE5013" w:rsidRDefault="00FE5013" w:rsidP="00FE5013">
            <w:pPr>
              <w:pStyle w:val="ListParagraph"/>
              <w:numPr>
                <w:ilvl w:val="0"/>
                <w:numId w:val="6"/>
              </w:numPr>
              <w:spacing w:line="360" w:lineRule="auto"/>
              <w:rPr>
                <w:rFonts w:ascii="Arial" w:hAnsi="Arial" w:cs="Arial"/>
                <w:lang w:val="en-US"/>
              </w:rPr>
            </w:pPr>
            <w:bookmarkStart w:id="5" w:name="_Hlk181096340"/>
            <w:r w:rsidRPr="00FE5013">
              <w:rPr>
                <w:rFonts w:ascii="Arial" w:hAnsi="Arial" w:cs="Arial"/>
                <w:lang w:val="en-US"/>
              </w:rPr>
              <w:t>To provide an overview of</w:t>
            </w:r>
            <w:r>
              <w:rPr>
                <w:rFonts w:ascii="Arial" w:hAnsi="Arial" w:cs="Arial"/>
                <w:lang w:val="en-US"/>
              </w:rPr>
              <w:t xml:space="preserve"> the transfer pricing documentation requirements which form part of Action 13 but are not part of the Minimum Standard, and how the </w:t>
            </w:r>
            <w:r w:rsidR="001E001F">
              <w:rPr>
                <w:rFonts w:ascii="Arial" w:hAnsi="Arial" w:cs="Arial"/>
                <w:lang w:val="en-US"/>
              </w:rPr>
              <w:t>three-tiered</w:t>
            </w:r>
            <w:r>
              <w:rPr>
                <w:rFonts w:ascii="Arial" w:hAnsi="Arial" w:cs="Arial"/>
                <w:lang w:val="en-US"/>
              </w:rPr>
              <w:t xml:space="preserve"> approach to transfer pricing documentation can be beneficial for risk assessment.</w:t>
            </w:r>
            <w:bookmarkEnd w:id="5"/>
          </w:p>
        </w:tc>
        <w:tc>
          <w:tcPr>
            <w:tcW w:w="2381" w:type="dxa"/>
          </w:tcPr>
          <w:p w14:paraId="7303EC22" w14:textId="77777777" w:rsidR="008105A7" w:rsidRDefault="00741462" w:rsidP="00AD7390">
            <w:pPr>
              <w:spacing w:line="360" w:lineRule="auto"/>
              <w:rPr>
                <w:rFonts w:ascii="Arial" w:hAnsi="Arial" w:cs="Arial"/>
                <w:lang w:val="en-US"/>
              </w:rPr>
            </w:pPr>
            <w:r>
              <w:rPr>
                <w:rFonts w:ascii="Arial" w:hAnsi="Arial" w:cs="Arial"/>
                <w:lang w:val="en-US"/>
              </w:rPr>
              <w:t>Mayra Lucas, OECD</w:t>
            </w:r>
            <w:r w:rsidR="009850AC">
              <w:rPr>
                <w:rFonts w:ascii="Arial" w:hAnsi="Arial" w:cs="Arial"/>
                <w:lang w:val="en-US"/>
              </w:rPr>
              <w:t>,</w:t>
            </w:r>
          </w:p>
          <w:p w14:paraId="08EF3617" w14:textId="77777777" w:rsidR="009850AC" w:rsidRDefault="009850AC" w:rsidP="00AD7390">
            <w:pPr>
              <w:spacing w:line="360" w:lineRule="auto"/>
              <w:rPr>
                <w:rFonts w:ascii="Arial" w:hAnsi="Arial" w:cs="Arial"/>
                <w:lang w:val="en-US"/>
              </w:rPr>
            </w:pPr>
          </w:p>
          <w:p w14:paraId="20427078" w14:textId="60391944" w:rsidR="009850AC" w:rsidRDefault="0081092F" w:rsidP="00AD7390">
            <w:pPr>
              <w:spacing w:line="360" w:lineRule="auto"/>
              <w:rPr>
                <w:rFonts w:ascii="Arial" w:hAnsi="Arial" w:cs="Arial"/>
                <w:lang w:val="en-US"/>
              </w:rPr>
            </w:pPr>
            <w:r>
              <w:rPr>
                <w:rFonts w:ascii="Arial" w:hAnsi="Arial" w:cs="Arial"/>
                <w:lang w:val="en-US"/>
              </w:rPr>
              <w:t>Paul Wilson (</w:t>
            </w:r>
            <w:r w:rsidR="009850AC">
              <w:rPr>
                <w:rFonts w:ascii="Arial" w:hAnsi="Arial" w:cs="Arial"/>
                <w:lang w:val="en-US"/>
              </w:rPr>
              <w:t>Australia</w:t>
            </w:r>
            <w:r>
              <w:rPr>
                <w:rFonts w:ascii="Arial" w:hAnsi="Arial" w:cs="Arial"/>
                <w:lang w:val="en-US"/>
              </w:rPr>
              <w:t>)</w:t>
            </w:r>
          </w:p>
          <w:p w14:paraId="3BD54BAF" w14:textId="77777777" w:rsidR="0081092F" w:rsidRDefault="0081092F" w:rsidP="00AD7390">
            <w:pPr>
              <w:spacing w:line="360" w:lineRule="auto"/>
              <w:rPr>
                <w:rFonts w:ascii="Arial" w:hAnsi="Arial" w:cs="Arial"/>
                <w:lang w:val="en-US"/>
              </w:rPr>
            </w:pPr>
          </w:p>
          <w:p w14:paraId="7CC10846" w14:textId="09279A30" w:rsidR="009850AC" w:rsidRDefault="0081092F" w:rsidP="0081092F">
            <w:pPr>
              <w:spacing w:line="360" w:lineRule="auto"/>
              <w:rPr>
                <w:rFonts w:ascii="Arial" w:hAnsi="Arial" w:cs="Arial"/>
                <w:lang w:val="en-US"/>
              </w:rPr>
            </w:pPr>
            <w:r>
              <w:rPr>
                <w:rFonts w:ascii="Arial" w:hAnsi="Arial" w:cs="Arial"/>
                <w:lang w:val="en-US"/>
              </w:rPr>
              <w:t xml:space="preserve">Klara </w:t>
            </w:r>
            <w:proofErr w:type="spellStart"/>
            <w:r>
              <w:rPr>
                <w:rFonts w:ascii="Arial" w:hAnsi="Arial" w:cs="Arial"/>
                <w:lang w:val="en-US"/>
              </w:rPr>
              <w:t>Kowalska</w:t>
            </w:r>
            <w:proofErr w:type="spellEnd"/>
            <w:r>
              <w:rPr>
                <w:rFonts w:ascii="Arial" w:hAnsi="Arial" w:cs="Arial"/>
                <w:lang w:val="en-US"/>
              </w:rPr>
              <w:t xml:space="preserve"> (Poland)</w:t>
            </w:r>
          </w:p>
        </w:tc>
      </w:tr>
    </w:tbl>
    <w:p w14:paraId="1C0545A5" w14:textId="3833334E" w:rsidR="00646B85" w:rsidRDefault="00646B85" w:rsidP="00AD7390">
      <w:pPr>
        <w:spacing w:line="360" w:lineRule="auto"/>
        <w:rPr>
          <w:rFonts w:ascii="Arial" w:hAnsi="Arial" w:cs="Arial"/>
          <w:lang w:val="en-US"/>
        </w:rPr>
      </w:pPr>
    </w:p>
    <w:tbl>
      <w:tblPr>
        <w:tblStyle w:val="TableGrid"/>
        <w:tblW w:w="0" w:type="auto"/>
        <w:tblLook w:val="04A0" w:firstRow="1" w:lastRow="0" w:firstColumn="1" w:lastColumn="0" w:noHBand="0" w:noVBand="1"/>
      </w:tblPr>
      <w:tblGrid>
        <w:gridCol w:w="1980"/>
        <w:gridCol w:w="6095"/>
        <w:gridCol w:w="2381"/>
      </w:tblGrid>
      <w:tr w:rsidR="00B80286" w14:paraId="65464377" w14:textId="77777777" w:rsidTr="00661F2B">
        <w:tc>
          <w:tcPr>
            <w:tcW w:w="10456" w:type="dxa"/>
            <w:gridSpan w:val="3"/>
            <w:shd w:val="clear" w:color="auto" w:fill="BDD6EE" w:themeFill="accent5" w:themeFillTint="66"/>
          </w:tcPr>
          <w:p w14:paraId="23008049" w14:textId="559B81FC" w:rsidR="00B80286" w:rsidRPr="00D0026C" w:rsidRDefault="00B80286" w:rsidP="00AD7390">
            <w:pPr>
              <w:spacing w:line="480" w:lineRule="auto"/>
              <w:rPr>
                <w:rFonts w:ascii="Arial" w:hAnsi="Arial" w:cs="Arial"/>
                <w:b/>
                <w:bCs/>
                <w:lang w:val="en-US"/>
              </w:rPr>
            </w:pPr>
            <w:r w:rsidRPr="00D0026C">
              <w:rPr>
                <w:rFonts w:ascii="Arial" w:hAnsi="Arial" w:cs="Arial"/>
                <w:b/>
                <w:bCs/>
                <w:lang w:val="en-US"/>
              </w:rPr>
              <w:lastRenderedPageBreak/>
              <w:t xml:space="preserve">Day </w:t>
            </w:r>
            <w:r>
              <w:rPr>
                <w:rFonts w:ascii="Arial" w:hAnsi="Arial" w:cs="Arial"/>
                <w:b/>
                <w:bCs/>
                <w:lang w:val="en-US"/>
              </w:rPr>
              <w:t>2</w:t>
            </w:r>
            <w:r w:rsidRPr="00D0026C">
              <w:rPr>
                <w:rFonts w:ascii="Arial" w:hAnsi="Arial" w:cs="Arial"/>
                <w:b/>
                <w:bCs/>
                <w:lang w:val="en-US"/>
              </w:rPr>
              <w:t xml:space="preserve"> </w:t>
            </w:r>
            <w:r>
              <w:rPr>
                <w:rFonts w:ascii="Arial" w:hAnsi="Arial" w:cs="Arial"/>
                <w:b/>
                <w:bCs/>
                <w:lang w:val="en-US"/>
              </w:rPr>
              <w:t>–</w:t>
            </w:r>
            <w:r w:rsidRPr="00D0026C">
              <w:rPr>
                <w:rFonts w:ascii="Arial" w:hAnsi="Arial" w:cs="Arial"/>
                <w:b/>
                <w:bCs/>
                <w:lang w:val="en-US"/>
              </w:rPr>
              <w:t xml:space="preserve"> </w:t>
            </w:r>
            <w:r w:rsidR="00E1566A">
              <w:rPr>
                <w:rFonts w:ascii="Arial" w:hAnsi="Arial" w:cs="Arial"/>
                <w:b/>
                <w:bCs/>
                <w:lang w:val="en-US"/>
              </w:rPr>
              <w:t>20 November 2024</w:t>
            </w:r>
          </w:p>
        </w:tc>
      </w:tr>
      <w:tr w:rsidR="001E1C0D" w14:paraId="1BBD3D7C" w14:textId="77777777" w:rsidTr="00661F2B">
        <w:tc>
          <w:tcPr>
            <w:tcW w:w="1980" w:type="dxa"/>
          </w:tcPr>
          <w:p w14:paraId="10D1AA2D" w14:textId="5E4AAFF4" w:rsidR="001E1C0D" w:rsidRDefault="001E1C0D" w:rsidP="001E1C0D">
            <w:pPr>
              <w:spacing w:line="360" w:lineRule="auto"/>
              <w:jc w:val="center"/>
              <w:rPr>
                <w:rFonts w:ascii="Arial" w:hAnsi="Arial" w:cs="Arial"/>
                <w:lang w:val="en-US"/>
              </w:rPr>
            </w:pPr>
            <w:r>
              <w:rPr>
                <w:rFonts w:ascii="Arial" w:hAnsi="Arial" w:cs="Arial"/>
                <w:lang w:val="en-US"/>
              </w:rPr>
              <w:t>9h00- 09h30</w:t>
            </w:r>
          </w:p>
          <w:p w14:paraId="76F06728" w14:textId="67237DA3" w:rsidR="001E1C0D" w:rsidRDefault="001E1C0D" w:rsidP="001E1C0D">
            <w:pPr>
              <w:spacing w:line="360" w:lineRule="auto"/>
              <w:jc w:val="center"/>
              <w:rPr>
                <w:rFonts w:ascii="Arial" w:hAnsi="Arial" w:cs="Arial"/>
                <w:lang w:val="en-US"/>
              </w:rPr>
            </w:pPr>
            <w:r>
              <w:rPr>
                <w:rFonts w:ascii="Arial" w:hAnsi="Arial" w:cs="Arial"/>
                <w:lang w:val="en-US"/>
              </w:rPr>
              <w:t>(30 min)</w:t>
            </w:r>
          </w:p>
        </w:tc>
        <w:tc>
          <w:tcPr>
            <w:tcW w:w="6095" w:type="dxa"/>
          </w:tcPr>
          <w:p w14:paraId="717904B2" w14:textId="765DCE8C" w:rsidR="001E1C0D" w:rsidRDefault="001E1C0D" w:rsidP="001E1C0D">
            <w:pPr>
              <w:spacing w:after="160" w:line="360" w:lineRule="auto"/>
              <w:rPr>
                <w:rFonts w:ascii="Arial" w:hAnsi="Arial" w:cs="Arial"/>
                <w:b/>
                <w:bCs/>
                <w:lang w:val="en-US"/>
              </w:rPr>
            </w:pPr>
            <w:r w:rsidRPr="00B80286">
              <w:rPr>
                <w:rFonts w:ascii="Arial" w:hAnsi="Arial" w:cs="Arial"/>
                <w:b/>
                <w:bCs/>
                <w:lang w:val="en-US"/>
              </w:rPr>
              <w:t xml:space="preserve">Session </w:t>
            </w:r>
            <w:r>
              <w:rPr>
                <w:rFonts w:ascii="Arial" w:hAnsi="Arial" w:cs="Arial"/>
                <w:b/>
                <w:bCs/>
                <w:lang w:val="en-US"/>
              </w:rPr>
              <w:t>3: Overview of Action 13 – CbC Report and the Peer Review Process</w:t>
            </w:r>
          </w:p>
          <w:p w14:paraId="4AB62596" w14:textId="77777777" w:rsidR="001E1C0D" w:rsidRDefault="001E1C0D" w:rsidP="001E1C0D">
            <w:pPr>
              <w:spacing w:line="360" w:lineRule="auto"/>
              <w:rPr>
                <w:rFonts w:ascii="Arial" w:hAnsi="Arial" w:cs="Arial"/>
                <w:lang w:val="en-US"/>
              </w:rPr>
            </w:pPr>
            <w:r>
              <w:rPr>
                <w:rFonts w:ascii="Arial" w:hAnsi="Arial" w:cs="Arial"/>
                <w:b/>
                <w:bCs/>
                <w:lang w:val="en-US"/>
              </w:rPr>
              <w:t xml:space="preserve">Target Audience: </w:t>
            </w:r>
          </w:p>
          <w:p w14:paraId="5C6F8747" w14:textId="77777777" w:rsidR="001E1C0D" w:rsidRPr="001E001F" w:rsidRDefault="001E1C0D" w:rsidP="001E1C0D">
            <w:pPr>
              <w:pStyle w:val="ListParagraph"/>
              <w:numPr>
                <w:ilvl w:val="0"/>
                <w:numId w:val="6"/>
              </w:numPr>
              <w:spacing w:line="360" w:lineRule="auto"/>
              <w:rPr>
                <w:rFonts w:ascii="Arial" w:hAnsi="Arial" w:cs="Arial"/>
                <w:lang w:val="en-US"/>
              </w:rPr>
            </w:pPr>
            <w:r>
              <w:rPr>
                <w:rFonts w:ascii="Arial" w:hAnsi="Arial" w:cs="Arial"/>
                <w:lang w:val="en-US"/>
              </w:rPr>
              <w:t>Tax administration officials responsible for the implementation of CbCR and the use of CbC reports for risk assessment.</w:t>
            </w:r>
          </w:p>
          <w:p w14:paraId="74141007" w14:textId="77777777" w:rsidR="001E1C0D" w:rsidRDefault="001E1C0D" w:rsidP="001E1C0D">
            <w:pPr>
              <w:spacing w:after="160" w:line="360" w:lineRule="auto"/>
              <w:rPr>
                <w:rFonts w:ascii="Arial" w:hAnsi="Arial" w:cs="Arial"/>
                <w:b/>
                <w:bCs/>
                <w:lang w:val="en-US"/>
              </w:rPr>
            </w:pPr>
            <w:r>
              <w:rPr>
                <w:rFonts w:ascii="Arial" w:hAnsi="Arial" w:cs="Arial"/>
                <w:b/>
                <w:bCs/>
                <w:lang w:val="en-US"/>
              </w:rPr>
              <w:t>Objectives:</w:t>
            </w:r>
          </w:p>
          <w:p w14:paraId="40B7E07E" w14:textId="77777777" w:rsidR="001E1C0D" w:rsidRPr="00FE5013" w:rsidRDefault="001E1C0D" w:rsidP="001E1C0D">
            <w:pPr>
              <w:pStyle w:val="ListParagraph"/>
              <w:numPr>
                <w:ilvl w:val="0"/>
                <w:numId w:val="6"/>
              </w:numPr>
              <w:spacing w:line="360" w:lineRule="auto"/>
              <w:rPr>
                <w:rFonts w:ascii="Arial" w:hAnsi="Arial" w:cs="Arial"/>
                <w:b/>
                <w:bCs/>
                <w:lang w:val="en-US"/>
              </w:rPr>
            </w:pPr>
            <w:r>
              <w:rPr>
                <w:rFonts w:ascii="Arial" w:hAnsi="Arial" w:cs="Arial"/>
                <w:lang w:val="en-US"/>
              </w:rPr>
              <w:t xml:space="preserve">To provide a high-level overview of the building blocks required to be implemented </w:t>
            </w:r>
            <w:proofErr w:type="gramStart"/>
            <w:r>
              <w:rPr>
                <w:rFonts w:ascii="Arial" w:hAnsi="Arial" w:cs="Arial"/>
                <w:lang w:val="en-US"/>
              </w:rPr>
              <w:t>in order to</w:t>
            </w:r>
            <w:proofErr w:type="gramEnd"/>
            <w:r>
              <w:rPr>
                <w:rFonts w:ascii="Arial" w:hAnsi="Arial" w:cs="Arial"/>
                <w:lang w:val="en-US"/>
              </w:rPr>
              <w:t xml:space="preserve"> meet the Minimum Standard.</w:t>
            </w:r>
          </w:p>
          <w:p w14:paraId="692C16AA" w14:textId="77777777" w:rsidR="001E1C0D" w:rsidRPr="00FE5013" w:rsidRDefault="001E1C0D" w:rsidP="001E1C0D">
            <w:pPr>
              <w:pStyle w:val="ListParagraph"/>
              <w:numPr>
                <w:ilvl w:val="0"/>
                <w:numId w:val="6"/>
              </w:numPr>
              <w:spacing w:line="360" w:lineRule="auto"/>
              <w:rPr>
                <w:rFonts w:ascii="Arial" w:hAnsi="Arial" w:cs="Arial"/>
                <w:b/>
                <w:bCs/>
                <w:lang w:val="en-US"/>
              </w:rPr>
            </w:pPr>
            <w:r>
              <w:rPr>
                <w:rFonts w:ascii="Arial" w:hAnsi="Arial" w:cs="Arial"/>
                <w:lang w:val="en-US"/>
              </w:rPr>
              <w:t>Provide guidance on the information contained within a CbC report.</w:t>
            </w:r>
          </w:p>
          <w:p w14:paraId="7FB2593F" w14:textId="5B6E703E" w:rsidR="001E1C0D" w:rsidRPr="00125993" w:rsidRDefault="001E1C0D" w:rsidP="001E1C0D">
            <w:pPr>
              <w:spacing w:line="360" w:lineRule="auto"/>
              <w:rPr>
                <w:rFonts w:ascii="Arial" w:hAnsi="Arial" w:cs="Arial"/>
                <w:b/>
                <w:bCs/>
                <w:lang w:val="en-US"/>
              </w:rPr>
            </w:pPr>
            <w:r w:rsidRPr="00FE5013">
              <w:rPr>
                <w:rFonts w:ascii="Arial" w:hAnsi="Arial" w:cs="Arial"/>
                <w:lang w:val="en-US"/>
              </w:rPr>
              <w:t xml:space="preserve">Provide a detailed </w:t>
            </w:r>
            <w:r>
              <w:rPr>
                <w:rFonts w:ascii="Arial" w:hAnsi="Arial" w:cs="Arial"/>
                <w:lang w:val="en-US"/>
              </w:rPr>
              <w:t>overview of the peer review process and the Secretariat support available to assist jurisdictions in making progress in meeting the Minimum Standard.</w:t>
            </w:r>
          </w:p>
        </w:tc>
        <w:tc>
          <w:tcPr>
            <w:tcW w:w="2381" w:type="dxa"/>
          </w:tcPr>
          <w:p w14:paraId="7816BF7E" w14:textId="1E56C049" w:rsidR="001E1C0D" w:rsidRDefault="001E1C0D" w:rsidP="001E1C0D">
            <w:pPr>
              <w:spacing w:line="360" w:lineRule="auto"/>
              <w:rPr>
                <w:rFonts w:ascii="Arial" w:hAnsi="Arial" w:cs="Arial"/>
                <w:lang w:val="en-US"/>
              </w:rPr>
            </w:pPr>
            <w:r>
              <w:rPr>
                <w:rFonts w:ascii="Arial" w:hAnsi="Arial" w:cs="Arial"/>
                <w:lang w:val="en-US"/>
              </w:rPr>
              <w:t>Nicole Casey, OECD</w:t>
            </w:r>
          </w:p>
        </w:tc>
      </w:tr>
      <w:tr w:rsidR="001E1C0D" w14:paraId="4E0EA672" w14:textId="77777777" w:rsidTr="00661F2B">
        <w:tc>
          <w:tcPr>
            <w:tcW w:w="1980" w:type="dxa"/>
          </w:tcPr>
          <w:p w14:paraId="71DA6D88" w14:textId="278C8F23" w:rsidR="001E1C0D" w:rsidRDefault="001E1C0D" w:rsidP="001E1C0D">
            <w:pPr>
              <w:spacing w:line="360" w:lineRule="auto"/>
              <w:jc w:val="center"/>
              <w:rPr>
                <w:rFonts w:ascii="Arial" w:hAnsi="Arial" w:cs="Arial"/>
                <w:lang w:val="en-US"/>
              </w:rPr>
            </w:pPr>
            <w:r>
              <w:rPr>
                <w:rFonts w:ascii="Arial" w:hAnsi="Arial" w:cs="Arial"/>
                <w:lang w:val="en-US"/>
              </w:rPr>
              <w:t>9h30- 10h15</w:t>
            </w:r>
          </w:p>
          <w:p w14:paraId="63A8ED45" w14:textId="4DE8E435" w:rsidR="001E1C0D" w:rsidRDefault="001E1C0D" w:rsidP="001E1C0D">
            <w:pPr>
              <w:spacing w:line="360" w:lineRule="auto"/>
              <w:jc w:val="center"/>
              <w:rPr>
                <w:rFonts w:ascii="Arial" w:hAnsi="Arial" w:cs="Arial"/>
                <w:lang w:val="en-US"/>
              </w:rPr>
            </w:pPr>
            <w:r>
              <w:rPr>
                <w:rFonts w:ascii="Arial" w:hAnsi="Arial" w:cs="Arial"/>
                <w:lang w:val="en-US"/>
              </w:rPr>
              <w:t>(45 min)</w:t>
            </w:r>
          </w:p>
        </w:tc>
        <w:tc>
          <w:tcPr>
            <w:tcW w:w="6095" w:type="dxa"/>
          </w:tcPr>
          <w:p w14:paraId="77DE677A" w14:textId="3DEF93AB" w:rsidR="001E1C0D" w:rsidRDefault="001E1C0D" w:rsidP="001E1C0D">
            <w:pPr>
              <w:spacing w:line="360" w:lineRule="auto"/>
              <w:rPr>
                <w:rFonts w:ascii="Arial" w:hAnsi="Arial" w:cs="Arial"/>
                <w:b/>
                <w:bCs/>
                <w:lang w:val="en-US"/>
              </w:rPr>
            </w:pPr>
            <w:r w:rsidRPr="00125993">
              <w:rPr>
                <w:rFonts w:ascii="Arial" w:hAnsi="Arial" w:cs="Arial"/>
                <w:b/>
                <w:bCs/>
                <w:lang w:val="en-US"/>
              </w:rPr>
              <w:t xml:space="preserve">Session </w:t>
            </w:r>
            <w:r>
              <w:rPr>
                <w:rFonts w:ascii="Arial" w:hAnsi="Arial" w:cs="Arial"/>
                <w:b/>
                <w:bCs/>
                <w:lang w:val="en-US"/>
              </w:rPr>
              <w:t>4a</w:t>
            </w:r>
            <w:r w:rsidRPr="00125993">
              <w:rPr>
                <w:rFonts w:ascii="Arial" w:hAnsi="Arial" w:cs="Arial"/>
                <w:b/>
                <w:bCs/>
                <w:lang w:val="en-US"/>
              </w:rPr>
              <w:t xml:space="preserve">: </w:t>
            </w:r>
            <w:r>
              <w:rPr>
                <w:rFonts w:ascii="Arial" w:hAnsi="Arial" w:cs="Arial"/>
                <w:b/>
                <w:bCs/>
                <w:lang w:val="en-US"/>
              </w:rPr>
              <w:t>Building Blocks of CbC – Legislation, Exchange of Information and Appropriate Use</w:t>
            </w:r>
          </w:p>
          <w:p w14:paraId="2A34AE6E" w14:textId="77777777" w:rsidR="001E1C0D" w:rsidRDefault="001E1C0D" w:rsidP="001E1C0D">
            <w:pPr>
              <w:spacing w:line="360" w:lineRule="auto"/>
              <w:rPr>
                <w:rFonts w:ascii="Arial" w:hAnsi="Arial" w:cs="Arial"/>
                <w:b/>
                <w:bCs/>
                <w:lang w:val="en-US"/>
              </w:rPr>
            </w:pPr>
            <w:r>
              <w:rPr>
                <w:rFonts w:ascii="Arial" w:hAnsi="Arial" w:cs="Arial"/>
                <w:b/>
                <w:bCs/>
                <w:lang w:val="en-US"/>
              </w:rPr>
              <w:t xml:space="preserve">Target Audience: </w:t>
            </w:r>
          </w:p>
          <w:p w14:paraId="2C552ADC" w14:textId="10C1AF22" w:rsidR="001E1C0D" w:rsidRPr="001E001F" w:rsidRDefault="001E1C0D" w:rsidP="001E1C0D">
            <w:pPr>
              <w:pStyle w:val="ListParagraph"/>
              <w:numPr>
                <w:ilvl w:val="0"/>
                <w:numId w:val="6"/>
              </w:numPr>
              <w:spacing w:line="360" w:lineRule="auto"/>
              <w:rPr>
                <w:rFonts w:ascii="Arial" w:hAnsi="Arial" w:cs="Arial"/>
                <w:lang w:val="en-US"/>
              </w:rPr>
            </w:pPr>
            <w:bookmarkStart w:id="6" w:name="_Hlk181095034"/>
            <w:r>
              <w:rPr>
                <w:rFonts w:ascii="Arial" w:hAnsi="Arial" w:cs="Arial"/>
                <w:lang w:val="en-US"/>
              </w:rPr>
              <w:t>Tax administration officials responsible for the implementation of CbCR and the use of CbC reports for risk assessment.</w:t>
            </w:r>
          </w:p>
          <w:bookmarkEnd w:id="6"/>
          <w:p w14:paraId="4F0A3A28" w14:textId="77777777" w:rsidR="001E1C0D" w:rsidRDefault="001E1C0D" w:rsidP="001E1C0D">
            <w:pPr>
              <w:spacing w:line="360" w:lineRule="auto"/>
              <w:rPr>
                <w:rFonts w:ascii="Arial" w:hAnsi="Arial" w:cs="Arial"/>
                <w:b/>
                <w:bCs/>
                <w:lang w:val="en-US"/>
              </w:rPr>
            </w:pPr>
            <w:r>
              <w:rPr>
                <w:rFonts w:ascii="Arial" w:hAnsi="Arial" w:cs="Arial"/>
                <w:b/>
                <w:bCs/>
                <w:lang w:val="en-US"/>
              </w:rPr>
              <w:t>Objectives:</w:t>
            </w:r>
          </w:p>
          <w:p w14:paraId="60B21BFA" w14:textId="77777777" w:rsidR="001E1C0D" w:rsidRDefault="001E1C0D" w:rsidP="001E1C0D">
            <w:pPr>
              <w:pStyle w:val="ListParagraph"/>
              <w:numPr>
                <w:ilvl w:val="0"/>
                <w:numId w:val="6"/>
              </w:numPr>
              <w:spacing w:line="360" w:lineRule="auto"/>
              <w:rPr>
                <w:rFonts w:ascii="Arial" w:hAnsi="Arial" w:cs="Arial"/>
                <w:lang w:val="en-US"/>
              </w:rPr>
            </w:pPr>
            <w:r w:rsidRPr="001E001F">
              <w:rPr>
                <w:rFonts w:ascii="Arial" w:hAnsi="Arial" w:cs="Arial"/>
                <w:lang w:val="en-US"/>
              </w:rPr>
              <w:t>To provide a</w:t>
            </w:r>
            <w:r>
              <w:rPr>
                <w:rFonts w:ascii="Arial" w:hAnsi="Arial" w:cs="Arial"/>
                <w:lang w:val="en-US"/>
              </w:rPr>
              <w:t xml:space="preserve"> detailed</w:t>
            </w:r>
            <w:r w:rsidRPr="001E001F">
              <w:rPr>
                <w:rFonts w:ascii="Arial" w:hAnsi="Arial" w:cs="Arial"/>
                <w:lang w:val="en-US"/>
              </w:rPr>
              <w:t xml:space="preserve"> overview of the</w:t>
            </w:r>
            <w:r>
              <w:rPr>
                <w:rFonts w:ascii="Arial" w:hAnsi="Arial" w:cs="Arial"/>
                <w:lang w:val="en-US"/>
              </w:rPr>
              <w:t xml:space="preserve"> building blocks required to be met </w:t>
            </w:r>
            <w:proofErr w:type="gramStart"/>
            <w:r>
              <w:rPr>
                <w:rFonts w:ascii="Arial" w:hAnsi="Arial" w:cs="Arial"/>
                <w:lang w:val="en-US"/>
              </w:rPr>
              <w:t>in order to</w:t>
            </w:r>
            <w:proofErr w:type="gramEnd"/>
            <w:r>
              <w:rPr>
                <w:rFonts w:ascii="Arial" w:hAnsi="Arial" w:cs="Arial"/>
                <w:lang w:val="en-US"/>
              </w:rPr>
              <w:t xml:space="preserve"> meet the Action 13 Minimum Standard.</w:t>
            </w:r>
          </w:p>
          <w:p w14:paraId="5E2CAC6B" w14:textId="77777777" w:rsidR="001E1C0D" w:rsidRDefault="001E1C0D" w:rsidP="001E1C0D">
            <w:pPr>
              <w:pStyle w:val="ListParagraph"/>
              <w:numPr>
                <w:ilvl w:val="0"/>
                <w:numId w:val="6"/>
              </w:numPr>
              <w:spacing w:line="360" w:lineRule="auto"/>
              <w:rPr>
                <w:rFonts w:ascii="Arial" w:hAnsi="Arial" w:cs="Arial"/>
                <w:lang w:val="en-US"/>
              </w:rPr>
            </w:pPr>
            <w:r>
              <w:rPr>
                <w:rFonts w:ascii="Arial" w:hAnsi="Arial" w:cs="Arial"/>
                <w:lang w:val="en-US"/>
              </w:rPr>
              <w:t>Provide details of the legislative requirement for CbCR.</w:t>
            </w:r>
          </w:p>
          <w:p w14:paraId="161D8C3E" w14:textId="77777777" w:rsidR="001E1C0D" w:rsidRDefault="001E1C0D" w:rsidP="001E1C0D">
            <w:pPr>
              <w:pStyle w:val="ListParagraph"/>
              <w:numPr>
                <w:ilvl w:val="0"/>
                <w:numId w:val="6"/>
              </w:numPr>
              <w:spacing w:line="360" w:lineRule="auto"/>
              <w:rPr>
                <w:rFonts w:ascii="Arial" w:hAnsi="Arial" w:cs="Arial"/>
                <w:lang w:val="en-US"/>
              </w:rPr>
            </w:pPr>
            <w:r>
              <w:rPr>
                <w:rFonts w:ascii="Arial" w:hAnsi="Arial" w:cs="Arial"/>
                <w:lang w:val="en-US"/>
              </w:rPr>
              <w:t>Overview of implementing exchange processes and exchange relationships for sending and receiving CbC reports.</w:t>
            </w:r>
          </w:p>
          <w:p w14:paraId="62A35B70" w14:textId="4C8BC0AA" w:rsidR="001E1C0D" w:rsidRPr="001E001F" w:rsidRDefault="001E1C0D" w:rsidP="001E1C0D">
            <w:pPr>
              <w:pStyle w:val="ListParagraph"/>
              <w:numPr>
                <w:ilvl w:val="0"/>
                <w:numId w:val="6"/>
              </w:numPr>
              <w:spacing w:line="360" w:lineRule="auto"/>
              <w:rPr>
                <w:rFonts w:ascii="Arial" w:hAnsi="Arial" w:cs="Arial"/>
                <w:lang w:val="en-US"/>
              </w:rPr>
            </w:pPr>
            <w:r>
              <w:rPr>
                <w:rFonts w:ascii="Arial" w:hAnsi="Arial" w:cs="Arial"/>
                <w:lang w:val="en-US"/>
              </w:rPr>
              <w:t xml:space="preserve">Details of the ways in which CbC reports can and cannot be used for risk assessment. </w:t>
            </w:r>
          </w:p>
        </w:tc>
        <w:tc>
          <w:tcPr>
            <w:tcW w:w="2381" w:type="dxa"/>
          </w:tcPr>
          <w:p w14:paraId="2FF7BCB1" w14:textId="18B0F1B5" w:rsidR="001E1C0D" w:rsidRDefault="001E1C0D" w:rsidP="001E1C0D">
            <w:pPr>
              <w:spacing w:line="360" w:lineRule="auto"/>
              <w:rPr>
                <w:rFonts w:ascii="Arial" w:hAnsi="Arial" w:cs="Arial"/>
                <w:lang w:val="en-US"/>
              </w:rPr>
            </w:pPr>
            <w:r>
              <w:rPr>
                <w:rFonts w:ascii="Arial" w:hAnsi="Arial" w:cs="Arial"/>
                <w:lang w:val="en-US"/>
              </w:rPr>
              <w:t>Nicole Casey, OECD</w:t>
            </w:r>
          </w:p>
        </w:tc>
      </w:tr>
      <w:tr w:rsidR="001E1C0D" w14:paraId="1C2FA523" w14:textId="77777777" w:rsidTr="00661F2B">
        <w:tc>
          <w:tcPr>
            <w:tcW w:w="1980" w:type="dxa"/>
            <w:shd w:val="clear" w:color="auto" w:fill="E2EFD9" w:themeFill="accent6" w:themeFillTint="33"/>
          </w:tcPr>
          <w:p w14:paraId="4CDBCC36" w14:textId="291E4691" w:rsidR="001E1C0D" w:rsidRDefault="001E1C0D" w:rsidP="001E1C0D">
            <w:pPr>
              <w:spacing w:line="360" w:lineRule="auto"/>
              <w:jc w:val="center"/>
              <w:rPr>
                <w:rFonts w:ascii="Arial" w:hAnsi="Arial" w:cs="Arial"/>
                <w:lang w:val="en-US"/>
              </w:rPr>
            </w:pPr>
            <w:r>
              <w:rPr>
                <w:rFonts w:ascii="Arial" w:hAnsi="Arial" w:cs="Arial"/>
                <w:lang w:val="en-US"/>
              </w:rPr>
              <w:t>10h15- 10h</w:t>
            </w:r>
            <w:r w:rsidR="000F0CEF">
              <w:rPr>
                <w:rFonts w:ascii="Arial" w:hAnsi="Arial" w:cs="Arial"/>
                <w:lang w:val="en-US"/>
              </w:rPr>
              <w:t>40</w:t>
            </w:r>
          </w:p>
          <w:p w14:paraId="559C1234" w14:textId="75617053" w:rsidR="001E1C0D" w:rsidRDefault="001E1C0D" w:rsidP="001E1C0D">
            <w:pPr>
              <w:spacing w:line="360" w:lineRule="auto"/>
              <w:jc w:val="center"/>
              <w:rPr>
                <w:rFonts w:ascii="Arial" w:hAnsi="Arial" w:cs="Arial"/>
                <w:lang w:val="en-US"/>
              </w:rPr>
            </w:pPr>
            <w:r>
              <w:rPr>
                <w:rFonts w:ascii="Arial" w:hAnsi="Arial" w:cs="Arial"/>
                <w:lang w:val="en-US"/>
              </w:rPr>
              <w:t>(2</w:t>
            </w:r>
            <w:r w:rsidR="000F0CEF">
              <w:rPr>
                <w:rFonts w:ascii="Arial" w:hAnsi="Arial" w:cs="Arial"/>
                <w:lang w:val="en-US"/>
              </w:rPr>
              <w:t xml:space="preserve">5 </w:t>
            </w:r>
            <w:r>
              <w:rPr>
                <w:rFonts w:ascii="Arial" w:hAnsi="Arial" w:cs="Arial"/>
                <w:lang w:val="en-US"/>
              </w:rPr>
              <w:t>min)</w:t>
            </w:r>
          </w:p>
        </w:tc>
        <w:tc>
          <w:tcPr>
            <w:tcW w:w="6095" w:type="dxa"/>
            <w:shd w:val="clear" w:color="auto" w:fill="E2EFD9" w:themeFill="accent6" w:themeFillTint="33"/>
          </w:tcPr>
          <w:p w14:paraId="5F732E6E" w14:textId="05AD5852" w:rsidR="001E1C0D" w:rsidRPr="00125993" w:rsidRDefault="001E1C0D" w:rsidP="001E1C0D">
            <w:pPr>
              <w:spacing w:line="360" w:lineRule="auto"/>
              <w:jc w:val="center"/>
              <w:rPr>
                <w:rFonts w:ascii="Arial" w:hAnsi="Arial" w:cs="Arial"/>
                <w:b/>
                <w:bCs/>
                <w:i/>
                <w:iCs/>
                <w:lang w:val="en-US"/>
              </w:rPr>
            </w:pPr>
            <w:r w:rsidRPr="00125993">
              <w:rPr>
                <w:rFonts w:ascii="Arial" w:hAnsi="Arial" w:cs="Arial"/>
                <w:b/>
                <w:bCs/>
                <w:i/>
                <w:iCs/>
                <w:lang w:val="en-US"/>
              </w:rPr>
              <w:t>BREAK</w:t>
            </w:r>
          </w:p>
        </w:tc>
        <w:tc>
          <w:tcPr>
            <w:tcW w:w="2381" w:type="dxa"/>
            <w:shd w:val="clear" w:color="auto" w:fill="E2EFD9" w:themeFill="accent6" w:themeFillTint="33"/>
          </w:tcPr>
          <w:p w14:paraId="60C90E1F" w14:textId="77777777" w:rsidR="001E1C0D" w:rsidRDefault="001E1C0D" w:rsidP="001E1C0D">
            <w:pPr>
              <w:spacing w:line="360" w:lineRule="auto"/>
              <w:rPr>
                <w:rFonts w:ascii="Arial" w:hAnsi="Arial" w:cs="Arial"/>
                <w:lang w:val="en-US"/>
              </w:rPr>
            </w:pPr>
          </w:p>
        </w:tc>
      </w:tr>
      <w:tr w:rsidR="001E1C0D" w14:paraId="4C566E18" w14:textId="77777777" w:rsidTr="00661F2B">
        <w:tc>
          <w:tcPr>
            <w:tcW w:w="1980" w:type="dxa"/>
          </w:tcPr>
          <w:p w14:paraId="426025A1" w14:textId="01EEF9D4" w:rsidR="001E1C0D" w:rsidRDefault="001E1C0D" w:rsidP="001E1C0D">
            <w:pPr>
              <w:spacing w:line="360" w:lineRule="auto"/>
              <w:jc w:val="center"/>
              <w:rPr>
                <w:rFonts w:ascii="Arial" w:hAnsi="Arial" w:cs="Arial"/>
                <w:lang w:val="en-US"/>
              </w:rPr>
            </w:pPr>
            <w:r>
              <w:rPr>
                <w:rFonts w:ascii="Arial" w:hAnsi="Arial" w:cs="Arial"/>
                <w:lang w:val="en-US"/>
              </w:rPr>
              <w:t>10h</w:t>
            </w:r>
            <w:r w:rsidR="000F0CEF">
              <w:rPr>
                <w:rFonts w:ascii="Arial" w:hAnsi="Arial" w:cs="Arial"/>
                <w:lang w:val="en-US"/>
              </w:rPr>
              <w:t>40</w:t>
            </w:r>
            <w:r>
              <w:rPr>
                <w:rFonts w:ascii="Arial" w:hAnsi="Arial" w:cs="Arial"/>
                <w:lang w:val="en-US"/>
              </w:rPr>
              <w:t>- 11h15</w:t>
            </w:r>
          </w:p>
          <w:p w14:paraId="078754E5" w14:textId="2CA91476" w:rsidR="001E1C0D" w:rsidRDefault="001E1C0D" w:rsidP="001E1C0D">
            <w:pPr>
              <w:spacing w:line="360" w:lineRule="auto"/>
              <w:jc w:val="center"/>
              <w:rPr>
                <w:rFonts w:ascii="Arial" w:hAnsi="Arial" w:cs="Arial"/>
                <w:lang w:val="en-US"/>
              </w:rPr>
            </w:pPr>
            <w:r>
              <w:rPr>
                <w:rFonts w:ascii="Arial" w:hAnsi="Arial" w:cs="Arial"/>
                <w:lang w:val="en-US"/>
              </w:rPr>
              <w:t>(</w:t>
            </w:r>
            <w:r w:rsidR="000F0CEF">
              <w:rPr>
                <w:rFonts w:ascii="Arial" w:hAnsi="Arial" w:cs="Arial"/>
                <w:lang w:val="en-US"/>
              </w:rPr>
              <w:t>35</w:t>
            </w:r>
            <w:r>
              <w:rPr>
                <w:rFonts w:ascii="Arial" w:hAnsi="Arial" w:cs="Arial"/>
                <w:lang w:val="en-US"/>
              </w:rPr>
              <w:t xml:space="preserve"> min)</w:t>
            </w:r>
          </w:p>
        </w:tc>
        <w:tc>
          <w:tcPr>
            <w:tcW w:w="6095" w:type="dxa"/>
          </w:tcPr>
          <w:p w14:paraId="4ABD663B" w14:textId="11527C45" w:rsidR="001E1C0D" w:rsidRDefault="001E1C0D" w:rsidP="001E1C0D">
            <w:pPr>
              <w:spacing w:line="360" w:lineRule="auto"/>
              <w:rPr>
                <w:rFonts w:ascii="Arial" w:hAnsi="Arial" w:cs="Arial"/>
                <w:b/>
                <w:bCs/>
                <w:lang w:val="en-US"/>
              </w:rPr>
            </w:pPr>
            <w:r w:rsidRPr="00B80286">
              <w:rPr>
                <w:rFonts w:ascii="Arial" w:hAnsi="Arial" w:cs="Arial"/>
                <w:b/>
                <w:bCs/>
                <w:lang w:val="en-US"/>
              </w:rPr>
              <w:t xml:space="preserve">Session </w:t>
            </w:r>
            <w:r>
              <w:rPr>
                <w:rFonts w:ascii="Arial" w:hAnsi="Arial" w:cs="Arial"/>
                <w:b/>
                <w:bCs/>
                <w:lang w:val="en-US"/>
              </w:rPr>
              <w:t>4b</w:t>
            </w:r>
            <w:r w:rsidRPr="00B80286">
              <w:rPr>
                <w:rFonts w:ascii="Arial" w:hAnsi="Arial" w:cs="Arial"/>
                <w:b/>
                <w:bCs/>
                <w:lang w:val="en-US"/>
              </w:rPr>
              <w:t>:</w:t>
            </w:r>
            <w:r>
              <w:rPr>
                <w:rFonts w:ascii="Arial" w:hAnsi="Arial" w:cs="Arial"/>
                <w:b/>
                <w:bCs/>
                <w:lang w:val="en-US"/>
              </w:rPr>
              <w:t xml:space="preserve"> Country Interventions – Challenges and Successes of CbCR Implementation </w:t>
            </w:r>
          </w:p>
          <w:p w14:paraId="27C8BC74" w14:textId="77777777" w:rsidR="001E1C0D" w:rsidRDefault="001E1C0D" w:rsidP="001E1C0D">
            <w:pPr>
              <w:spacing w:line="360" w:lineRule="auto"/>
              <w:rPr>
                <w:rFonts w:ascii="Arial" w:hAnsi="Arial" w:cs="Arial"/>
                <w:b/>
                <w:bCs/>
                <w:lang w:val="en-US"/>
              </w:rPr>
            </w:pPr>
            <w:r>
              <w:rPr>
                <w:rFonts w:ascii="Arial" w:hAnsi="Arial" w:cs="Arial"/>
                <w:b/>
                <w:bCs/>
                <w:lang w:val="en-US"/>
              </w:rPr>
              <w:lastRenderedPageBreak/>
              <w:t>Objectives:</w:t>
            </w:r>
          </w:p>
          <w:p w14:paraId="51EF7B82" w14:textId="77777777" w:rsidR="001E1C0D" w:rsidRPr="001E001F" w:rsidRDefault="001E1C0D" w:rsidP="001E1C0D">
            <w:pPr>
              <w:pStyle w:val="ListParagraph"/>
              <w:numPr>
                <w:ilvl w:val="0"/>
                <w:numId w:val="6"/>
              </w:numPr>
              <w:spacing w:line="360" w:lineRule="auto"/>
              <w:rPr>
                <w:rFonts w:ascii="Arial" w:hAnsi="Arial" w:cs="Arial"/>
                <w:b/>
                <w:bCs/>
                <w:lang w:val="en-US"/>
              </w:rPr>
            </w:pPr>
            <w:r>
              <w:rPr>
                <w:rFonts w:ascii="Arial" w:hAnsi="Arial" w:cs="Arial"/>
                <w:lang w:val="en-US"/>
              </w:rPr>
              <w:t xml:space="preserve">Hear from jurisdictions that have put in place the various building blocks of the Minimum Standard as they share experiences, </w:t>
            </w:r>
            <w:proofErr w:type="gramStart"/>
            <w:r>
              <w:rPr>
                <w:rFonts w:ascii="Arial" w:hAnsi="Arial" w:cs="Arial"/>
                <w:lang w:val="en-US"/>
              </w:rPr>
              <w:t>challenges</w:t>
            </w:r>
            <w:proofErr w:type="gramEnd"/>
            <w:r>
              <w:rPr>
                <w:rFonts w:ascii="Arial" w:hAnsi="Arial" w:cs="Arial"/>
                <w:lang w:val="en-US"/>
              </w:rPr>
              <w:t xml:space="preserve"> and successes.</w:t>
            </w:r>
          </w:p>
          <w:p w14:paraId="6DD08093" w14:textId="0759B098" w:rsidR="001E1C0D" w:rsidRPr="001E001F" w:rsidRDefault="001E1C0D" w:rsidP="001E1C0D">
            <w:pPr>
              <w:pStyle w:val="ListParagraph"/>
              <w:numPr>
                <w:ilvl w:val="0"/>
                <w:numId w:val="6"/>
              </w:numPr>
              <w:spacing w:line="360" w:lineRule="auto"/>
              <w:rPr>
                <w:rFonts w:ascii="Arial" w:hAnsi="Arial" w:cs="Arial"/>
                <w:lang w:val="en-US"/>
              </w:rPr>
            </w:pPr>
            <w:r w:rsidRPr="001E001F">
              <w:rPr>
                <w:rFonts w:ascii="Arial" w:hAnsi="Arial" w:cs="Arial"/>
                <w:lang w:val="en-US"/>
              </w:rPr>
              <w:t xml:space="preserve">Opportunity for Q&amp;A. </w:t>
            </w:r>
          </w:p>
        </w:tc>
        <w:tc>
          <w:tcPr>
            <w:tcW w:w="2381" w:type="dxa"/>
          </w:tcPr>
          <w:p w14:paraId="152C3AF5" w14:textId="7A212FA8" w:rsidR="0001118F" w:rsidRDefault="0001118F" w:rsidP="0001118F">
            <w:pPr>
              <w:rPr>
                <w:rFonts w:ascii="Arial" w:hAnsi="Arial" w:cs="Arial"/>
                <w:lang w:val="en-US"/>
              </w:rPr>
            </w:pPr>
          </w:p>
          <w:p w14:paraId="714ACA74" w14:textId="77777777" w:rsidR="009D36DE" w:rsidRDefault="009D36DE" w:rsidP="0001118F">
            <w:pPr>
              <w:rPr>
                <w:rFonts w:ascii="Arial" w:hAnsi="Arial" w:cs="Arial"/>
                <w:lang w:val="en-US"/>
              </w:rPr>
            </w:pPr>
          </w:p>
          <w:p w14:paraId="58A6F46C" w14:textId="0DC29586" w:rsidR="009D36DE" w:rsidRPr="009D36DE" w:rsidRDefault="009D36DE" w:rsidP="009D36DE">
            <w:pPr>
              <w:rPr>
                <w:rFonts w:ascii="Arial" w:hAnsi="Arial" w:cs="Arial"/>
                <w:lang w:val="en-US"/>
              </w:rPr>
            </w:pPr>
            <w:r w:rsidRPr="009D36DE">
              <w:rPr>
                <w:rFonts w:ascii="Arial" w:hAnsi="Arial" w:cs="Arial"/>
                <w:lang w:val="en-US"/>
              </w:rPr>
              <w:lastRenderedPageBreak/>
              <w:t>Fikrat Abdullayev, (Azerb</w:t>
            </w:r>
            <w:r>
              <w:rPr>
                <w:rFonts w:ascii="Arial" w:hAnsi="Arial" w:cs="Arial"/>
                <w:lang w:val="en-US"/>
              </w:rPr>
              <w:t>ai</w:t>
            </w:r>
            <w:r w:rsidRPr="009D36DE">
              <w:rPr>
                <w:rFonts w:ascii="Arial" w:hAnsi="Arial" w:cs="Arial"/>
                <w:lang w:val="en-US"/>
              </w:rPr>
              <w:t xml:space="preserve">jan) </w:t>
            </w:r>
          </w:p>
          <w:p w14:paraId="72E167C2" w14:textId="7FAC6F06" w:rsidR="001E1C0D" w:rsidRDefault="001E1C0D" w:rsidP="001E1C0D">
            <w:pPr>
              <w:spacing w:line="360" w:lineRule="auto"/>
              <w:rPr>
                <w:rFonts w:ascii="Arial" w:hAnsi="Arial" w:cs="Arial"/>
                <w:lang w:val="en-US"/>
              </w:rPr>
            </w:pPr>
          </w:p>
        </w:tc>
      </w:tr>
      <w:tr w:rsidR="001E1C0D" w14:paraId="10DC87E8" w14:textId="77777777" w:rsidTr="00661F2B">
        <w:tc>
          <w:tcPr>
            <w:tcW w:w="1980" w:type="dxa"/>
          </w:tcPr>
          <w:p w14:paraId="65E608D4" w14:textId="51934A90" w:rsidR="001E1C0D" w:rsidRDefault="001E1C0D" w:rsidP="001E1C0D">
            <w:pPr>
              <w:spacing w:line="360" w:lineRule="auto"/>
              <w:jc w:val="center"/>
              <w:rPr>
                <w:rFonts w:ascii="Arial" w:hAnsi="Arial" w:cs="Arial"/>
                <w:lang w:val="en-US"/>
              </w:rPr>
            </w:pPr>
            <w:r>
              <w:rPr>
                <w:rFonts w:ascii="Arial" w:hAnsi="Arial" w:cs="Arial"/>
                <w:lang w:val="en-US"/>
              </w:rPr>
              <w:lastRenderedPageBreak/>
              <w:t>11h15- 12h00</w:t>
            </w:r>
          </w:p>
          <w:p w14:paraId="01296ED5" w14:textId="44EDA906" w:rsidR="001E1C0D" w:rsidRDefault="001E1C0D" w:rsidP="001E1C0D">
            <w:pPr>
              <w:spacing w:line="360" w:lineRule="auto"/>
              <w:jc w:val="center"/>
              <w:rPr>
                <w:rFonts w:ascii="Arial" w:hAnsi="Arial" w:cs="Arial"/>
                <w:lang w:val="en-US"/>
              </w:rPr>
            </w:pPr>
            <w:r>
              <w:rPr>
                <w:rFonts w:ascii="Arial" w:hAnsi="Arial" w:cs="Arial"/>
                <w:lang w:val="en-US"/>
              </w:rPr>
              <w:t>(45 min)</w:t>
            </w:r>
          </w:p>
        </w:tc>
        <w:tc>
          <w:tcPr>
            <w:tcW w:w="6095" w:type="dxa"/>
          </w:tcPr>
          <w:p w14:paraId="22B4BBF8" w14:textId="637F0AD1" w:rsidR="001E1C0D" w:rsidRDefault="001E1C0D" w:rsidP="001E1C0D">
            <w:pPr>
              <w:spacing w:after="160" w:line="360" w:lineRule="auto"/>
              <w:rPr>
                <w:rFonts w:ascii="Arial" w:hAnsi="Arial" w:cs="Arial"/>
                <w:b/>
                <w:bCs/>
                <w:lang w:val="en-US"/>
              </w:rPr>
            </w:pPr>
            <w:r w:rsidRPr="00B80286">
              <w:rPr>
                <w:rFonts w:ascii="Arial" w:hAnsi="Arial" w:cs="Arial"/>
                <w:b/>
                <w:bCs/>
                <w:lang w:val="en-US"/>
              </w:rPr>
              <w:t xml:space="preserve">Session </w:t>
            </w:r>
            <w:r>
              <w:rPr>
                <w:rFonts w:ascii="Arial" w:hAnsi="Arial" w:cs="Arial"/>
                <w:b/>
                <w:bCs/>
                <w:lang w:val="en-US"/>
              </w:rPr>
              <w:t>5: Confidentiality Assessment for Automatic Exchange of Information</w:t>
            </w:r>
          </w:p>
          <w:p w14:paraId="0A9BD26B" w14:textId="77777777" w:rsidR="001E1C0D" w:rsidRDefault="001E1C0D" w:rsidP="001E1C0D">
            <w:pPr>
              <w:spacing w:line="360" w:lineRule="auto"/>
              <w:rPr>
                <w:rFonts w:ascii="Arial" w:hAnsi="Arial" w:cs="Arial"/>
                <w:b/>
                <w:bCs/>
                <w:lang w:val="en-US"/>
              </w:rPr>
            </w:pPr>
            <w:r>
              <w:rPr>
                <w:rFonts w:ascii="Arial" w:hAnsi="Arial" w:cs="Arial"/>
                <w:b/>
                <w:bCs/>
                <w:lang w:val="en-US"/>
              </w:rPr>
              <w:t xml:space="preserve">Target Audience: </w:t>
            </w:r>
          </w:p>
          <w:p w14:paraId="5812A76B" w14:textId="453E3A50" w:rsidR="001E1C0D" w:rsidRPr="00AE1F12" w:rsidRDefault="001E1C0D" w:rsidP="001E1C0D">
            <w:pPr>
              <w:pStyle w:val="ListParagraph"/>
              <w:numPr>
                <w:ilvl w:val="0"/>
                <w:numId w:val="6"/>
              </w:numPr>
              <w:spacing w:line="360" w:lineRule="auto"/>
              <w:rPr>
                <w:rFonts w:ascii="Arial" w:hAnsi="Arial" w:cs="Arial"/>
                <w:lang w:val="en-US"/>
              </w:rPr>
            </w:pPr>
            <w:r>
              <w:rPr>
                <w:rFonts w:ascii="Arial" w:hAnsi="Arial" w:cs="Arial"/>
                <w:lang w:val="en-US"/>
              </w:rPr>
              <w:t xml:space="preserve">Tax administration officials from jurisdictions that have not yet passed the Global Forum confidentiality assessment for Automatic Exchange of Information </w:t>
            </w:r>
          </w:p>
          <w:p w14:paraId="235DDED3" w14:textId="77777777" w:rsidR="001E1C0D" w:rsidRDefault="001E1C0D" w:rsidP="001E1C0D">
            <w:pPr>
              <w:spacing w:after="160" w:line="360" w:lineRule="auto"/>
              <w:rPr>
                <w:rFonts w:ascii="Arial" w:hAnsi="Arial" w:cs="Arial"/>
                <w:b/>
                <w:bCs/>
                <w:lang w:val="en-US"/>
              </w:rPr>
            </w:pPr>
            <w:r>
              <w:rPr>
                <w:rFonts w:ascii="Arial" w:hAnsi="Arial" w:cs="Arial"/>
                <w:b/>
                <w:bCs/>
                <w:lang w:val="en-US"/>
              </w:rPr>
              <w:t>Objectives:</w:t>
            </w:r>
          </w:p>
          <w:p w14:paraId="25525D5C" w14:textId="77777777" w:rsidR="001E1C0D" w:rsidRPr="00251BE1" w:rsidRDefault="001E1C0D" w:rsidP="001E1C0D">
            <w:pPr>
              <w:pStyle w:val="ListParagraph"/>
              <w:numPr>
                <w:ilvl w:val="0"/>
                <w:numId w:val="6"/>
              </w:numPr>
              <w:spacing w:line="360" w:lineRule="auto"/>
              <w:rPr>
                <w:rFonts w:ascii="Arial" w:hAnsi="Arial" w:cs="Arial"/>
                <w:b/>
                <w:bCs/>
                <w:lang w:val="en-US"/>
              </w:rPr>
            </w:pPr>
            <w:r>
              <w:rPr>
                <w:rFonts w:ascii="Arial" w:hAnsi="Arial" w:cs="Arial"/>
                <w:lang w:val="en-US"/>
              </w:rPr>
              <w:t>Provide an overview of the support available from the Global Forum to assist jurisdictions in preparing for the confidentiality and data safeguards assessment.</w:t>
            </w:r>
          </w:p>
          <w:p w14:paraId="4D1C2771" w14:textId="77777777" w:rsidR="001E1C0D" w:rsidRDefault="001E1C0D" w:rsidP="001E1C0D">
            <w:pPr>
              <w:pStyle w:val="ListParagraph"/>
              <w:numPr>
                <w:ilvl w:val="0"/>
                <w:numId w:val="6"/>
              </w:numPr>
              <w:spacing w:line="360" w:lineRule="auto"/>
              <w:rPr>
                <w:rFonts w:ascii="Arial" w:hAnsi="Arial" w:cs="Arial"/>
                <w:lang w:val="en-US"/>
              </w:rPr>
            </w:pPr>
            <w:r w:rsidRPr="00251BE1">
              <w:rPr>
                <w:rFonts w:ascii="Arial" w:hAnsi="Arial" w:cs="Arial"/>
                <w:lang w:val="en-US"/>
              </w:rPr>
              <w:t>Provide details o</w:t>
            </w:r>
            <w:r>
              <w:rPr>
                <w:rFonts w:ascii="Arial" w:hAnsi="Arial" w:cs="Arial"/>
                <w:lang w:val="en-US"/>
              </w:rPr>
              <w:t>n a CbCR only assessment (i.e. without needing to commit to CRS).</w:t>
            </w:r>
          </w:p>
          <w:p w14:paraId="2D8D95D5" w14:textId="6FA909E8" w:rsidR="001E1C0D" w:rsidRPr="00251BE1" w:rsidRDefault="001E1C0D" w:rsidP="001E1C0D">
            <w:pPr>
              <w:pStyle w:val="ListParagraph"/>
              <w:numPr>
                <w:ilvl w:val="0"/>
                <w:numId w:val="6"/>
              </w:numPr>
              <w:spacing w:line="360" w:lineRule="auto"/>
              <w:rPr>
                <w:rFonts w:ascii="Arial" w:hAnsi="Arial" w:cs="Arial"/>
                <w:lang w:val="en-US"/>
              </w:rPr>
            </w:pPr>
            <w:r>
              <w:rPr>
                <w:rFonts w:ascii="Arial" w:hAnsi="Arial" w:cs="Arial"/>
                <w:lang w:val="en-US"/>
              </w:rPr>
              <w:t>Provide details on the “secure perimeter” approach.</w:t>
            </w:r>
          </w:p>
        </w:tc>
        <w:tc>
          <w:tcPr>
            <w:tcW w:w="2381" w:type="dxa"/>
          </w:tcPr>
          <w:p w14:paraId="2BB9C58D" w14:textId="1A347FA8" w:rsidR="001E1C0D" w:rsidRDefault="0081092F" w:rsidP="001E1C0D">
            <w:pPr>
              <w:spacing w:line="360" w:lineRule="auto"/>
              <w:rPr>
                <w:rFonts w:ascii="Arial" w:hAnsi="Arial" w:cs="Arial"/>
                <w:lang w:val="en-US"/>
              </w:rPr>
            </w:pPr>
            <w:r>
              <w:rPr>
                <w:rFonts w:ascii="Arial" w:hAnsi="Arial" w:cs="Arial"/>
                <w:lang w:val="en-US"/>
              </w:rPr>
              <w:t xml:space="preserve">Lloyd </w:t>
            </w:r>
            <w:proofErr w:type="spellStart"/>
            <w:r>
              <w:rPr>
                <w:rFonts w:ascii="Arial" w:hAnsi="Arial" w:cs="Arial"/>
                <w:lang w:val="en-US"/>
              </w:rPr>
              <w:t>Garrochinho</w:t>
            </w:r>
            <w:proofErr w:type="spellEnd"/>
            <w:r>
              <w:rPr>
                <w:rFonts w:ascii="Arial" w:hAnsi="Arial" w:cs="Arial"/>
                <w:lang w:val="en-US"/>
              </w:rPr>
              <w:t>, OECD</w:t>
            </w:r>
          </w:p>
        </w:tc>
      </w:tr>
    </w:tbl>
    <w:p w14:paraId="5654A8B9" w14:textId="443110D3" w:rsidR="00B80286" w:rsidRDefault="00B80286" w:rsidP="00AD7390">
      <w:pPr>
        <w:spacing w:line="360" w:lineRule="auto"/>
        <w:rPr>
          <w:rFonts w:ascii="Arial" w:hAnsi="Arial" w:cs="Arial"/>
          <w:lang w:val="en-US"/>
        </w:rPr>
      </w:pPr>
    </w:p>
    <w:tbl>
      <w:tblPr>
        <w:tblStyle w:val="TableGrid"/>
        <w:tblW w:w="0" w:type="auto"/>
        <w:tblLook w:val="04A0" w:firstRow="1" w:lastRow="0" w:firstColumn="1" w:lastColumn="0" w:noHBand="0" w:noVBand="1"/>
      </w:tblPr>
      <w:tblGrid>
        <w:gridCol w:w="1896"/>
        <w:gridCol w:w="5801"/>
        <w:gridCol w:w="2759"/>
      </w:tblGrid>
      <w:tr w:rsidR="00B80286" w14:paraId="5BA9E721" w14:textId="77777777" w:rsidTr="00661F2B">
        <w:tc>
          <w:tcPr>
            <w:tcW w:w="10456" w:type="dxa"/>
            <w:gridSpan w:val="3"/>
            <w:shd w:val="clear" w:color="auto" w:fill="BDD6EE" w:themeFill="accent5" w:themeFillTint="66"/>
          </w:tcPr>
          <w:p w14:paraId="74BB9757" w14:textId="2861C252" w:rsidR="00B80286" w:rsidRPr="00D0026C" w:rsidRDefault="00B80286" w:rsidP="00AD7390">
            <w:pPr>
              <w:spacing w:line="480" w:lineRule="auto"/>
              <w:rPr>
                <w:rFonts w:ascii="Arial" w:hAnsi="Arial" w:cs="Arial"/>
                <w:b/>
                <w:bCs/>
                <w:lang w:val="en-US"/>
              </w:rPr>
            </w:pPr>
            <w:r w:rsidRPr="00D0026C">
              <w:rPr>
                <w:rFonts w:ascii="Arial" w:hAnsi="Arial" w:cs="Arial"/>
                <w:b/>
                <w:bCs/>
                <w:lang w:val="en-US"/>
              </w:rPr>
              <w:t xml:space="preserve">Day </w:t>
            </w:r>
            <w:r>
              <w:rPr>
                <w:rFonts w:ascii="Arial" w:hAnsi="Arial" w:cs="Arial"/>
                <w:b/>
                <w:bCs/>
                <w:lang w:val="en-US"/>
              </w:rPr>
              <w:t>3</w:t>
            </w:r>
            <w:r w:rsidRPr="00D0026C">
              <w:rPr>
                <w:rFonts w:ascii="Arial" w:hAnsi="Arial" w:cs="Arial"/>
                <w:b/>
                <w:bCs/>
                <w:lang w:val="en-US"/>
              </w:rPr>
              <w:t xml:space="preserve"> </w:t>
            </w:r>
            <w:r>
              <w:rPr>
                <w:rFonts w:ascii="Arial" w:hAnsi="Arial" w:cs="Arial"/>
                <w:b/>
                <w:bCs/>
                <w:lang w:val="en-US"/>
              </w:rPr>
              <w:t>–</w:t>
            </w:r>
            <w:r w:rsidRPr="00D0026C">
              <w:rPr>
                <w:rFonts w:ascii="Arial" w:hAnsi="Arial" w:cs="Arial"/>
                <w:b/>
                <w:bCs/>
                <w:lang w:val="en-US"/>
              </w:rPr>
              <w:t xml:space="preserve"> </w:t>
            </w:r>
            <w:r w:rsidR="001E001F">
              <w:rPr>
                <w:rFonts w:ascii="Arial" w:hAnsi="Arial" w:cs="Arial"/>
                <w:b/>
                <w:bCs/>
                <w:lang w:val="en-US"/>
              </w:rPr>
              <w:t>21 November 2024</w:t>
            </w:r>
          </w:p>
        </w:tc>
      </w:tr>
      <w:tr w:rsidR="00E1566A" w14:paraId="6302957A" w14:textId="77777777" w:rsidTr="002742A7">
        <w:tc>
          <w:tcPr>
            <w:tcW w:w="1896" w:type="dxa"/>
          </w:tcPr>
          <w:p w14:paraId="51BD158D" w14:textId="341B044F" w:rsidR="00E1566A" w:rsidRDefault="00E1566A" w:rsidP="00E1566A">
            <w:pPr>
              <w:spacing w:line="360" w:lineRule="auto"/>
              <w:jc w:val="center"/>
              <w:rPr>
                <w:rFonts w:ascii="Arial" w:hAnsi="Arial" w:cs="Arial"/>
                <w:lang w:val="en-US"/>
              </w:rPr>
            </w:pPr>
            <w:r>
              <w:rPr>
                <w:rFonts w:ascii="Arial" w:hAnsi="Arial" w:cs="Arial"/>
                <w:lang w:val="en-US"/>
              </w:rPr>
              <w:t>9h</w:t>
            </w:r>
            <w:r w:rsidR="001E1C0D">
              <w:rPr>
                <w:rFonts w:ascii="Arial" w:hAnsi="Arial" w:cs="Arial"/>
                <w:lang w:val="en-US"/>
              </w:rPr>
              <w:t>0</w:t>
            </w:r>
            <w:r>
              <w:rPr>
                <w:rFonts w:ascii="Arial" w:hAnsi="Arial" w:cs="Arial"/>
                <w:lang w:val="en-US"/>
              </w:rPr>
              <w:t>0- 0</w:t>
            </w:r>
            <w:r w:rsidR="001E1C0D">
              <w:rPr>
                <w:rFonts w:ascii="Arial" w:hAnsi="Arial" w:cs="Arial"/>
                <w:lang w:val="en-US"/>
              </w:rPr>
              <w:t>9</w:t>
            </w:r>
            <w:r>
              <w:rPr>
                <w:rFonts w:ascii="Arial" w:hAnsi="Arial" w:cs="Arial"/>
                <w:lang w:val="en-US"/>
              </w:rPr>
              <w:t>h</w:t>
            </w:r>
            <w:r w:rsidR="001E1C0D">
              <w:rPr>
                <w:rFonts w:ascii="Arial" w:hAnsi="Arial" w:cs="Arial"/>
                <w:lang w:val="en-US"/>
              </w:rPr>
              <w:t>45</w:t>
            </w:r>
          </w:p>
          <w:p w14:paraId="582398C0" w14:textId="70BD5DD5" w:rsidR="00E1566A" w:rsidRDefault="00E1566A" w:rsidP="00E1566A">
            <w:pPr>
              <w:spacing w:line="360" w:lineRule="auto"/>
              <w:jc w:val="center"/>
              <w:rPr>
                <w:rFonts w:ascii="Arial" w:hAnsi="Arial" w:cs="Arial"/>
                <w:lang w:val="en-US"/>
              </w:rPr>
            </w:pPr>
            <w:r>
              <w:rPr>
                <w:rFonts w:ascii="Arial" w:hAnsi="Arial" w:cs="Arial"/>
                <w:lang w:val="en-US"/>
              </w:rPr>
              <w:t>(4</w:t>
            </w:r>
            <w:r w:rsidR="001E1C0D">
              <w:rPr>
                <w:rFonts w:ascii="Arial" w:hAnsi="Arial" w:cs="Arial"/>
                <w:lang w:val="en-US"/>
              </w:rPr>
              <w:t>5</w:t>
            </w:r>
            <w:r>
              <w:rPr>
                <w:rFonts w:ascii="Arial" w:hAnsi="Arial" w:cs="Arial"/>
                <w:lang w:val="en-US"/>
              </w:rPr>
              <w:t xml:space="preserve"> min)</w:t>
            </w:r>
          </w:p>
        </w:tc>
        <w:tc>
          <w:tcPr>
            <w:tcW w:w="5801" w:type="dxa"/>
          </w:tcPr>
          <w:p w14:paraId="106E43AD" w14:textId="6D16AC0E" w:rsidR="00E1566A" w:rsidRDefault="00E1566A" w:rsidP="00E1566A">
            <w:pPr>
              <w:spacing w:line="360" w:lineRule="auto"/>
              <w:rPr>
                <w:rFonts w:ascii="Arial" w:hAnsi="Arial" w:cs="Arial"/>
                <w:b/>
                <w:bCs/>
                <w:lang w:val="en-US"/>
              </w:rPr>
            </w:pPr>
            <w:r w:rsidRPr="00125993">
              <w:rPr>
                <w:rFonts w:ascii="Arial" w:hAnsi="Arial" w:cs="Arial"/>
                <w:b/>
                <w:bCs/>
                <w:lang w:val="en-US"/>
              </w:rPr>
              <w:t xml:space="preserve">Session </w:t>
            </w:r>
            <w:r w:rsidR="001E1C0D">
              <w:rPr>
                <w:rFonts w:ascii="Arial" w:hAnsi="Arial" w:cs="Arial"/>
                <w:b/>
                <w:bCs/>
                <w:lang w:val="en-US"/>
              </w:rPr>
              <w:t>6</w:t>
            </w:r>
            <w:r w:rsidRPr="00125993">
              <w:rPr>
                <w:rFonts w:ascii="Arial" w:hAnsi="Arial" w:cs="Arial"/>
                <w:b/>
                <w:bCs/>
                <w:lang w:val="en-US"/>
              </w:rPr>
              <w:t xml:space="preserve">: </w:t>
            </w:r>
            <w:r w:rsidR="00820180">
              <w:rPr>
                <w:rFonts w:ascii="Arial" w:hAnsi="Arial" w:cs="Arial"/>
                <w:b/>
                <w:bCs/>
                <w:lang w:val="en-US"/>
              </w:rPr>
              <w:t>The Common Transmission System</w:t>
            </w:r>
          </w:p>
          <w:p w14:paraId="7127064E" w14:textId="77777777" w:rsidR="00E1566A" w:rsidRDefault="00E1566A" w:rsidP="00E1566A">
            <w:pPr>
              <w:spacing w:line="360" w:lineRule="auto"/>
              <w:rPr>
                <w:rFonts w:ascii="Arial" w:hAnsi="Arial" w:cs="Arial"/>
                <w:b/>
                <w:bCs/>
                <w:lang w:val="en-US"/>
              </w:rPr>
            </w:pPr>
            <w:r>
              <w:rPr>
                <w:rFonts w:ascii="Arial" w:hAnsi="Arial" w:cs="Arial"/>
                <w:b/>
                <w:bCs/>
                <w:lang w:val="en-US"/>
              </w:rPr>
              <w:t xml:space="preserve">Target Audience: </w:t>
            </w:r>
          </w:p>
          <w:p w14:paraId="5AFF232C" w14:textId="49689709" w:rsidR="001E001F" w:rsidRPr="001E001F" w:rsidRDefault="001E001F" w:rsidP="001E001F">
            <w:pPr>
              <w:pStyle w:val="ListParagraph"/>
              <w:numPr>
                <w:ilvl w:val="0"/>
                <w:numId w:val="6"/>
              </w:numPr>
              <w:spacing w:line="360" w:lineRule="auto"/>
              <w:rPr>
                <w:rFonts w:ascii="Arial" w:hAnsi="Arial" w:cs="Arial"/>
                <w:lang w:val="en-US"/>
              </w:rPr>
            </w:pPr>
            <w:r>
              <w:rPr>
                <w:rFonts w:ascii="Arial" w:hAnsi="Arial" w:cs="Arial"/>
                <w:lang w:val="en-US"/>
              </w:rPr>
              <w:t>Tax administration officials from jurisdictions that have not yet implemented the CTS or those that have questions about the CTS and how it works.</w:t>
            </w:r>
          </w:p>
          <w:p w14:paraId="5BE69C2D" w14:textId="77777777" w:rsidR="00E1566A" w:rsidRDefault="00E1566A" w:rsidP="00E1566A">
            <w:pPr>
              <w:spacing w:line="360" w:lineRule="auto"/>
              <w:rPr>
                <w:rFonts w:ascii="Arial" w:hAnsi="Arial" w:cs="Arial"/>
                <w:b/>
                <w:bCs/>
                <w:lang w:val="en-US"/>
              </w:rPr>
            </w:pPr>
            <w:r>
              <w:rPr>
                <w:rFonts w:ascii="Arial" w:hAnsi="Arial" w:cs="Arial"/>
                <w:b/>
                <w:bCs/>
                <w:lang w:val="en-US"/>
              </w:rPr>
              <w:t>Objectives:</w:t>
            </w:r>
          </w:p>
          <w:p w14:paraId="0E8821B0" w14:textId="77777777" w:rsidR="001E001F" w:rsidRDefault="001E001F" w:rsidP="001E001F">
            <w:pPr>
              <w:pStyle w:val="ListParagraph"/>
              <w:numPr>
                <w:ilvl w:val="0"/>
                <w:numId w:val="6"/>
              </w:numPr>
              <w:spacing w:line="360" w:lineRule="auto"/>
              <w:rPr>
                <w:rFonts w:ascii="Arial" w:hAnsi="Arial" w:cs="Arial"/>
                <w:lang w:val="en-US"/>
              </w:rPr>
            </w:pPr>
            <w:r w:rsidRPr="001E001F">
              <w:rPr>
                <w:rFonts w:ascii="Arial" w:hAnsi="Arial" w:cs="Arial"/>
                <w:lang w:val="en-US"/>
              </w:rPr>
              <w:t>Provide an overview of the CTS and its functionality</w:t>
            </w:r>
            <w:r>
              <w:rPr>
                <w:rFonts w:ascii="Arial" w:hAnsi="Arial" w:cs="Arial"/>
                <w:lang w:val="en-US"/>
              </w:rPr>
              <w:t>.</w:t>
            </w:r>
          </w:p>
          <w:p w14:paraId="68A7F5B5" w14:textId="41187981" w:rsidR="001E001F" w:rsidRPr="001E001F" w:rsidRDefault="001E001F" w:rsidP="001E001F">
            <w:pPr>
              <w:pStyle w:val="ListParagraph"/>
              <w:numPr>
                <w:ilvl w:val="0"/>
                <w:numId w:val="6"/>
              </w:numPr>
              <w:spacing w:line="360" w:lineRule="auto"/>
              <w:rPr>
                <w:rFonts w:ascii="Arial" w:hAnsi="Arial" w:cs="Arial"/>
                <w:lang w:val="en-US"/>
              </w:rPr>
            </w:pPr>
            <w:r>
              <w:rPr>
                <w:rFonts w:ascii="Arial" w:hAnsi="Arial" w:cs="Arial"/>
                <w:lang w:val="en-US"/>
              </w:rPr>
              <w:t>Address any issues raised by jurisdictions in respect of the CTS.</w:t>
            </w:r>
          </w:p>
        </w:tc>
        <w:tc>
          <w:tcPr>
            <w:tcW w:w="2759" w:type="dxa"/>
          </w:tcPr>
          <w:p w14:paraId="0E8A198B" w14:textId="7CCC1062" w:rsidR="00E1566A" w:rsidRDefault="0081092F" w:rsidP="00E1566A">
            <w:pPr>
              <w:spacing w:line="360" w:lineRule="auto"/>
              <w:rPr>
                <w:rFonts w:ascii="Arial" w:hAnsi="Arial" w:cs="Arial"/>
                <w:lang w:val="en-US"/>
              </w:rPr>
            </w:pPr>
            <w:r>
              <w:rPr>
                <w:rFonts w:ascii="Arial" w:hAnsi="Arial" w:cs="Arial"/>
                <w:lang w:val="en-US"/>
              </w:rPr>
              <w:t>Mark Scott</w:t>
            </w:r>
            <w:r w:rsidR="00820180">
              <w:rPr>
                <w:rFonts w:ascii="Arial" w:hAnsi="Arial" w:cs="Arial"/>
                <w:lang w:val="en-US"/>
              </w:rPr>
              <w:t>, OECD</w:t>
            </w:r>
          </w:p>
        </w:tc>
      </w:tr>
      <w:tr w:rsidR="006C1F9E" w14:paraId="58A6F1F2" w14:textId="77777777" w:rsidTr="002742A7">
        <w:tc>
          <w:tcPr>
            <w:tcW w:w="1896" w:type="dxa"/>
            <w:shd w:val="clear" w:color="auto" w:fill="FBE4D5" w:themeFill="accent2" w:themeFillTint="33"/>
          </w:tcPr>
          <w:p w14:paraId="2FDFFCD6" w14:textId="34BFF280" w:rsidR="006C1F9E" w:rsidRDefault="00E1566A" w:rsidP="00AD7390">
            <w:pPr>
              <w:spacing w:line="360" w:lineRule="auto"/>
              <w:jc w:val="center"/>
              <w:rPr>
                <w:rFonts w:ascii="Arial" w:hAnsi="Arial" w:cs="Arial"/>
                <w:lang w:val="en-US"/>
              </w:rPr>
            </w:pPr>
            <w:r>
              <w:rPr>
                <w:rFonts w:ascii="Arial" w:hAnsi="Arial" w:cs="Arial"/>
                <w:lang w:val="en-US"/>
              </w:rPr>
              <w:t>0</w:t>
            </w:r>
            <w:r w:rsidR="001E1C0D">
              <w:rPr>
                <w:rFonts w:ascii="Arial" w:hAnsi="Arial" w:cs="Arial"/>
                <w:lang w:val="en-US"/>
              </w:rPr>
              <w:t>9</w:t>
            </w:r>
            <w:r w:rsidR="003D6539">
              <w:rPr>
                <w:rFonts w:ascii="Arial" w:hAnsi="Arial" w:cs="Arial"/>
                <w:lang w:val="en-US"/>
              </w:rPr>
              <w:t>h</w:t>
            </w:r>
            <w:r w:rsidR="001E1C0D">
              <w:rPr>
                <w:rFonts w:ascii="Arial" w:hAnsi="Arial" w:cs="Arial"/>
                <w:lang w:val="en-US"/>
              </w:rPr>
              <w:t>45</w:t>
            </w:r>
            <w:r w:rsidR="003D6539">
              <w:rPr>
                <w:rFonts w:ascii="Arial" w:hAnsi="Arial" w:cs="Arial"/>
                <w:lang w:val="en-US"/>
              </w:rPr>
              <w:t>-</w:t>
            </w:r>
            <w:r w:rsidR="001E1C0D">
              <w:rPr>
                <w:rFonts w:ascii="Arial" w:hAnsi="Arial" w:cs="Arial"/>
                <w:lang w:val="en-US"/>
              </w:rPr>
              <w:t>09</w:t>
            </w:r>
            <w:r w:rsidR="003D6539">
              <w:rPr>
                <w:rFonts w:ascii="Arial" w:hAnsi="Arial" w:cs="Arial"/>
                <w:lang w:val="en-US"/>
              </w:rPr>
              <w:t>h</w:t>
            </w:r>
            <w:r w:rsidR="001E1C0D">
              <w:rPr>
                <w:rFonts w:ascii="Arial" w:hAnsi="Arial" w:cs="Arial"/>
                <w:lang w:val="en-US"/>
              </w:rPr>
              <w:t>55</w:t>
            </w:r>
          </w:p>
          <w:p w14:paraId="1AFFB878" w14:textId="07EC2179" w:rsidR="003D6539" w:rsidRDefault="003D6539" w:rsidP="00AD7390">
            <w:pPr>
              <w:spacing w:line="360" w:lineRule="auto"/>
              <w:jc w:val="center"/>
              <w:rPr>
                <w:rFonts w:ascii="Arial" w:hAnsi="Arial" w:cs="Arial"/>
                <w:lang w:val="en-US"/>
              </w:rPr>
            </w:pPr>
            <w:r>
              <w:rPr>
                <w:rFonts w:ascii="Arial" w:hAnsi="Arial" w:cs="Arial"/>
                <w:lang w:val="en-US"/>
              </w:rPr>
              <w:t>(10 min)</w:t>
            </w:r>
          </w:p>
        </w:tc>
        <w:tc>
          <w:tcPr>
            <w:tcW w:w="5801" w:type="dxa"/>
            <w:shd w:val="clear" w:color="auto" w:fill="FBE4D5" w:themeFill="accent2" w:themeFillTint="33"/>
          </w:tcPr>
          <w:p w14:paraId="5F548DF6" w14:textId="5528D281" w:rsidR="006C1F9E" w:rsidRPr="00595B80" w:rsidRDefault="00481904" w:rsidP="00595B80">
            <w:pPr>
              <w:spacing w:line="360" w:lineRule="auto"/>
              <w:jc w:val="center"/>
              <w:rPr>
                <w:rFonts w:ascii="Arial" w:hAnsi="Arial" w:cs="Arial"/>
                <w:i/>
                <w:iCs/>
                <w:lang w:val="en-US"/>
              </w:rPr>
            </w:pPr>
            <w:r w:rsidRPr="00595B80">
              <w:rPr>
                <w:rFonts w:ascii="Arial" w:hAnsi="Arial" w:cs="Arial"/>
                <w:i/>
                <w:iCs/>
                <w:lang w:val="en-US"/>
              </w:rPr>
              <w:t>Workshop Survey</w:t>
            </w:r>
          </w:p>
        </w:tc>
        <w:tc>
          <w:tcPr>
            <w:tcW w:w="2759" w:type="dxa"/>
            <w:shd w:val="clear" w:color="auto" w:fill="FBE4D5" w:themeFill="accent2" w:themeFillTint="33"/>
          </w:tcPr>
          <w:p w14:paraId="49D70350" w14:textId="57578F7F" w:rsidR="006C1F9E" w:rsidRDefault="00481904" w:rsidP="00AD7390">
            <w:pPr>
              <w:spacing w:line="360" w:lineRule="auto"/>
              <w:rPr>
                <w:rFonts w:ascii="Arial" w:hAnsi="Arial" w:cs="Arial"/>
                <w:lang w:val="en-US"/>
              </w:rPr>
            </w:pPr>
            <w:r>
              <w:rPr>
                <w:rFonts w:ascii="Arial" w:hAnsi="Arial" w:cs="Arial"/>
                <w:lang w:val="en-US"/>
              </w:rPr>
              <w:t xml:space="preserve">GRP </w:t>
            </w:r>
            <w:r w:rsidR="00C4155B">
              <w:rPr>
                <w:rFonts w:ascii="Arial" w:hAnsi="Arial" w:cs="Arial"/>
                <w:lang w:val="en-US"/>
              </w:rPr>
              <w:t>staff</w:t>
            </w:r>
          </w:p>
        </w:tc>
      </w:tr>
      <w:tr w:rsidR="00B80286" w14:paraId="5FFFECB5" w14:textId="77777777" w:rsidTr="002742A7">
        <w:tc>
          <w:tcPr>
            <w:tcW w:w="1896" w:type="dxa"/>
            <w:shd w:val="clear" w:color="auto" w:fill="E2EFD9" w:themeFill="accent6" w:themeFillTint="33"/>
          </w:tcPr>
          <w:p w14:paraId="5F2CED51" w14:textId="6DC23CED" w:rsidR="00B80286" w:rsidRDefault="001E1C0D" w:rsidP="00AD7390">
            <w:pPr>
              <w:spacing w:line="360" w:lineRule="auto"/>
              <w:jc w:val="center"/>
              <w:rPr>
                <w:rFonts w:ascii="Arial" w:hAnsi="Arial" w:cs="Arial"/>
                <w:lang w:val="en-US"/>
              </w:rPr>
            </w:pPr>
            <w:r>
              <w:rPr>
                <w:rFonts w:ascii="Arial" w:hAnsi="Arial" w:cs="Arial"/>
                <w:lang w:val="en-US"/>
              </w:rPr>
              <w:t>09</w:t>
            </w:r>
            <w:r w:rsidR="00B80286">
              <w:rPr>
                <w:rFonts w:ascii="Arial" w:hAnsi="Arial" w:cs="Arial"/>
                <w:lang w:val="en-US"/>
              </w:rPr>
              <w:t>h</w:t>
            </w:r>
            <w:r>
              <w:rPr>
                <w:rFonts w:ascii="Arial" w:hAnsi="Arial" w:cs="Arial"/>
                <w:lang w:val="en-US"/>
              </w:rPr>
              <w:t>55</w:t>
            </w:r>
            <w:r w:rsidR="00B80286">
              <w:rPr>
                <w:rFonts w:ascii="Arial" w:hAnsi="Arial" w:cs="Arial"/>
                <w:lang w:val="en-US"/>
              </w:rPr>
              <w:t>-</w:t>
            </w:r>
            <w:r>
              <w:rPr>
                <w:rFonts w:ascii="Arial" w:hAnsi="Arial" w:cs="Arial"/>
                <w:lang w:val="en-US"/>
              </w:rPr>
              <w:t>1</w:t>
            </w:r>
            <w:r w:rsidR="00E1566A">
              <w:rPr>
                <w:rFonts w:ascii="Arial" w:hAnsi="Arial" w:cs="Arial"/>
                <w:lang w:val="en-US"/>
              </w:rPr>
              <w:t>0</w:t>
            </w:r>
            <w:r w:rsidR="00B80286">
              <w:rPr>
                <w:rFonts w:ascii="Arial" w:hAnsi="Arial" w:cs="Arial"/>
                <w:lang w:val="en-US"/>
              </w:rPr>
              <w:t>h</w:t>
            </w:r>
            <w:r>
              <w:rPr>
                <w:rFonts w:ascii="Arial" w:hAnsi="Arial" w:cs="Arial"/>
                <w:lang w:val="en-US"/>
              </w:rPr>
              <w:t>10</w:t>
            </w:r>
          </w:p>
          <w:p w14:paraId="59992FE4" w14:textId="30083DC0" w:rsidR="00B80286" w:rsidRDefault="00B80286" w:rsidP="00AD7390">
            <w:pPr>
              <w:spacing w:line="360" w:lineRule="auto"/>
              <w:jc w:val="center"/>
              <w:rPr>
                <w:rFonts w:ascii="Arial" w:hAnsi="Arial" w:cs="Arial"/>
                <w:lang w:val="en-US"/>
              </w:rPr>
            </w:pPr>
            <w:r>
              <w:rPr>
                <w:rFonts w:ascii="Arial" w:hAnsi="Arial" w:cs="Arial"/>
                <w:lang w:val="en-US"/>
              </w:rPr>
              <w:t>(</w:t>
            </w:r>
            <w:r w:rsidR="00820180">
              <w:rPr>
                <w:rFonts w:ascii="Arial" w:hAnsi="Arial" w:cs="Arial"/>
                <w:lang w:val="en-US"/>
              </w:rPr>
              <w:t>15</w:t>
            </w:r>
            <w:r>
              <w:rPr>
                <w:rFonts w:ascii="Arial" w:hAnsi="Arial" w:cs="Arial"/>
                <w:lang w:val="en-US"/>
              </w:rPr>
              <w:t xml:space="preserve"> min)</w:t>
            </w:r>
          </w:p>
        </w:tc>
        <w:tc>
          <w:tcPr>
            <w:tcW w:w="5801" w:type="dxa"/>
            <w:shd w:val="clear" w:color="auto" w:fill="E2EFD9" w:themeFill="accent6" w:themeFillTint="33"/>
          </w:tcPr>
          <w:p w14:paraId="64CF2B26" w14:textId="77777777" w:rsidR="00B80286" w:rsidRPr="00125993" w:rsidRDefault="00B80286" w:rsidP="001E001F">
            <w:pPr>
              <w:spacing w:line="360" w:lineRule="auto"/>
              <w:jc w:val="center"/>
              <w:rPr>
                <w:rFonts w:ascii="Arial" w:hAnsi="Arial" w:cs="Arial"/>
                <w:b/>
                <w:bCs/>
                <w:i/>
                <w:iCs/>
                <w:lang w:val="en-US"/>
              </w:rPr>
            </w:pPr>
            <w:r w:rsidRPr="00125993">
              <w:rPr>
                <w:rFonts w:ascii="Arial" w:hAnsi="Arial" w:cs="Arial"/>
                <w:b/>
                <w:bCs/>
                <w:i/>
                <w:iCs/>
                <w:lang w:val="en-US"/>
              </w:rPr>
              <w:t>BREAK</w:t>
            </w:r>
          </w:p>
        </w:tc>
        <w:tc>
          <w:tcPr>
            <w:tcW w:w="2759" w:type="dxa"/>
            <w:shd w:val="clear" w:color="auto" w:fill="E2EFD9" w:themeFill="accent6" w:themeFillTint="33"/>
          </w:tcPr>
          <w:p w14:paraId="7AB72B2A" w14:textId="77777777" w:rsidR="00B80286" w:rsidRDefault="00B80286" w:rsidP="00AD7390">
            <w:pPr>
              <w:spacing w:line="360" w:lineRule="auto"/>
              <w:rPr>
                <w:rFonts w:ascii="Arial" w:hAnsi="Arial" w:cs="Arial"/>
                <w:lang w:val="en-US"/>
              </w:rPr>
            </w:pPr>
          </w:p>
        </w:tc>
      </w:tr>
      <w:tr w:rsidR="00E1566A" w14:paraId="02475AD0" w14:textId="77777777" w:rsidTr="002742A7">
        <w:tc>
          <w:tcPr>
            <w:tcW w:w="1896" w:type="dxa"/>
          </w:tcPr>
          <w:p w14:paraId="7473D986" w14:textId="1924F801" w:rsidR="00E1566A" w:rsidRDefault="00E1566A" w:rsidP="00E1566A">
            <w:pPr>
              <w:spacing w:line="360" w:lineRule="auto"/>
              <w:jc w:val="center"/>
              <w:rPr>
                <w:rFonts w:ascii="Arial" w:hAnsi="Arial" w:cs="Arial"/>
                <w:lang w:val="en-US"/>
              </w:rPr>
            </w:pPr>
            <w:r>
              <w:rPr>
                <w:rFonts w:ascii="Arial" w:hAnsi="Arial" w:cs="Arial"/>
                <w:lang w:val="en-US"/>
              </w:rPr>
              <w:lastRenderedPageBreak/>
              <w:t>10h</w:t>
            </w:r>
            <w:r w:rsidR="001E1C0D">
              <w:rPr>
                <w:rFonts w:ascii="Arial" w:hAnsi="Arial" w:cs="Arial"/>
                <w:lang w:val="en-US"/>
              </w:rPr>
              <w:t>1</w:t>
            </w:r>
            <w:r w:rsidR="00820180">
              <w:rPr>
                <w:rFonts w:ascii="Arial" w:hAnsi="Arial" w:cs="Arial"/>
                <w:lang w:val="en-US"/>
              </w:rPr>
              <w:t>0</w:t>
            </w:r>
            <w:r>
              <w:rPr>
                <w:rFonts w:ascii="Arial" w:hAnsi="Arial" w:cs="Arial"/>
                <w:lang w:val="en-US"/>
              </w:rPr>
              <w:t>- 1</w:t>
            </w:r>
            <w:r w:rsidR="001E1C0D">
              <w:rPr>
                <w:rFonts w:ascii="Arial" w:hAnsi="Arial" w:cs="Arial"/>
                <w:lang w:val="en-US"/>
              </w:rPr>
              <w:t>0</w:t>
            </w:r>
            <w:r>
              <w:rPr>
                <w:rFonts w:ascii="Arial" w:hAnsi="Arial" w:cs="Arial"/>
                <w:lang w:val="en-US"/>
              </w:rPr>
              <w:t>h</w:t>
            </w:r>
            <w:r w:rsidR="001E1C0D">
              <w:rPr>
                <w:rFonts w:ascii="Arial" w:hAnsi="Arial" w:cs="Arial"/>
                <w:lang w:val="en-US"/>
              </w:rPr>
              <w:t>55</w:t>
            </w:r>
          </w:p>
          <w:p w14:paraId="4E2A0A1D" w14:textId="4A2DB8C8" w:rsidR="00E1566A" w:rsidRDefault="00E1566A" w:rsidP="00E1566A">
            <w:pPr>
              <w:spacing w:line="360" w:lineRule="auto"/>
              <w:jc w:val="center"/>
              <w:rPr>
                <w:rFonts w:ascii="Arial" w:hAnsi="Arial" w:cs="Arial"/>
                <w:lang w:val="en-US"/>
              </w:rPr>
            </w:pPr>
            <w:r>
              <w:rPr>
                <w:rFonts w:ascii="Arial" w:hAnsi="Arial" w:cs="Arial"/>
                <w:lang w:val="en-US"/>
              </w:rPr>
              <w:t>(</w:t>
            </w:r>
            <w:r w:rsidR="00820180">
              <w:rPr>
                <w:rFonts w:ascii="Arial" w:hAnsi="Arial" w:cs="Arial"/>
                <w:lang w:val="en-US"/>
              </w:rPr>
              <w:t>4</w:t>
            </w:r>
            <w:r w:rsidR="001E1C0D">
              <w:rPr>
                <w:rFonts w:ascii="Arial" w:hAnsi="Arial" w:cs="Arial"/>
                <w:lang w:val="en-US"/>
              </w:rPr>
              <w:t>5</w:t>
            </w:r>
            <w:r>
              <w:rPr>
                <w:rFonts w:ascii="Arial" w:hAnsi="Arial" w:cs="Arial"/>
                <w:lang w:val="en-US"/>
              </w:rPr>
              <w:t xml:space="preserve"> min)</w:t>
            </w:r>
          </w:p>
        </w:tc>
        <w:tc>
          <w:tcPr>
            <w:tcW w:w="5801" w:type="dxa"/>
          </w:tcPr>
          <w:p w14:paraId="77E5B913" w14:textId="6302216C" w:rsidR="00E1566A" w:rsidRDefault="00E1566A" w:rsidP="00E1566A">
            <w:pPr>
              <w:spacing w:line="360" w:lineRule="auto"/>
              <w:rPr>
                <w:rFonts w:ascii="Arial" w:hAnsi="Arial" w:cs="Arial"/>
                <w:b/>
                <w:bCs/>
                <w:lang w:val="en-US"/>
              </w:rPr>
            </w:pPr>
            <w:r w:rsidRPr="00B80286">
              <w:rPr>
                <w:rFonts w:ascii="Arial" w:hAnsi="Arial" w:cs="Arial"/>
                <w:b/>
                <w:bCs/>
                <w:lang w:val="en-US"/>
              </w:rPr>
              <w:t xml:space="preserve">Session </w:t>
            </w:r>
            <w:r w:rsidR="001E1C0D">
              <w:rPr>
                <w:rFonts w:ascii="Arial" w:hAnsi="Arial" w:cs="Arial"/>
                <w:b/>
                <w:bCs/>
                <w:lang w:val="en-US"/>
              </w:rPr>
              <w:t>7</w:t>
            </w:r>
            <w:r w:rsidR="00820180">
              <w:rPr>
                <w:rFonts w:ascii="Arial" w:hAnsi="Arial" w:cs="Arial"/>
                <w:b/>
                <w:bCs/>
                <w:lang w:val="en-US"/>
              </w:rPr>
              <w:t xml:space="preserve">: IT Systems – Developing versus Procuring, including country </w:t>
            </w:r>
            <w:proofErr w:type="gramStart"/>
            <w:r w:rsidR="00820180">
              <w:rPr>
                <w:rFonts w:ascii="Arial" w:hAnsi="Arial" w:cs="Arial"/>
                <w:b/>
                <w:bCs/>
                <w:lang w:val="en-US"/>
              </w:rPr>
              <w:t>experience</w:t>
            </w:r>
            <w:proofErr w:type="gramEnd"/>
            <w:r>
              <w:rPr>
                <w:rFonts w:ascii="Arial" w:hAnsi="Arial" w:cs="Arial"/>
                <w:b/>
                <w:bCs/>
                <w:lang w:val="en-US"/>
              </w:rPr>
              <w:t xml:space="preserve"> </w:t>
            </w:r>
          </w:p>
          <w:p w14:paraId="42FA04AA" w14:textId="77777777" w:rsidR="00E1566A" w:rsidRDefault="00E1566A" w:rsidP="00E1566A">
            <w:pPr>
              <w:spacing w:line="360" w:lineRule="auto"/>
              <w:rPr>
                <w:rFonts w:ascii="Arial" w:hAnsi="Arial" w:cs="Arial"/>
                <w:b/>
                <w:bCs/>
                <w:lang w:val="en-US"/>
              </w:rPr>
            </w:pPr>
            <w:r>
              <w:rPr>
                <w:rFonts w:ascii="Arial" w:hAnsi="Arial" w:cs="Arial"/>
                <w:b/>
                <w:bCs/>
                <w:lang w:val="en-US"/>
              </w:rPr>
              <w:t xml:space="preserve">Target Audience: </w:t>
            </w:r>
          </w:p>
          <w:p w14:paraId="541D514B" w14:textId="175DA4FE" w:rsidR="001E001F" w:rsidRPr="001E001F" w:rsidRDefault="001E001F" w:rsidP="001E001F">
            <w:pPr>
              <w:pStyle w:val="ListParagraph"/>
              <w:numPr>
                <w:ilvl w:val="0"/>
                <w:numId w:val="6"/>
              </w:numPr>
              <w:spacing w:line="360" w:lineRule="auto"/>
              <w:rPr>
                <w:rFonts w:ascii="Arial" w:hAnsi="Arial" w:cs="Arial"/>
                <w:lang w:val="en-US"/>
              </w:rPr>
            </w:pPr>
            <w:r>
              <w:rPr>
                <w:rFonts w:ascii="Arial" w:hAnsi="Arial" w:cs="Arial"/>
                <w:lang w:val="en-US"/>
              </w:rPr>
              <w:t>Jurisdictions that have not yet put in place a domestic IT solution to connect to the CTS, or jurisdictions who wish to understand the various options available in respect of IT capabilities.</w:t>
            </w:r>
          </w:p>
          <w:p w14:paraId="5D4B653B" w14:textId="77777777" w:rsidR="00E1566A" w:rsidRDefault="00E1566A" w:rsidP="00E1566A">
            <w:pPr>
              <w:spacing w:line="360" w:lineRule="auto"/>
              <w:rPr>
                <w:rFonts w:ascii="Arial" w:hAnsi="Arial" w:cs="Arial"/>
                <w:b/>
                <w:bCs/>
                <w:lang w:val="en-US"/>
              </w:rPr>
            </w:pPr>
            <w:r>
              <w:rPr>
                <w:rFonts w:ascii="Arial" w:hAnsi="Arial" w:cs="Arial"/>
                <w:b/>
                <w:bCs/>
                <w:lang w:val="en-US"/>
              </w:rPr>
              <w:t>Objectives:</w:t>
            </w:r>
          </w:p>
          <w:p w14:paraId="45222AA0" w14:textId="4ACA1657" w:rsidR="00463DBF" w:rsidRPr="00463DBF" w:rsidRDefault="001E001F" w:rsidP="001E001F">
            <w:pPr>
              <w:pStyle w:val="ListParagraph"/>
              <w:numPr>
                <w:ilvl w:val="0"/>
                <w:numId w:val="6"/>
              </w:numPr>
              <w:spacing w:line="360" w:lineRule="auto"/>
              <w:rPr>
                <w:rFonts w:ascii="Arial" w:hAnsi="Arial" w:cs="Arial"/>
                <w:lang w:val="en-US"/>
              </w:rPr>
            </w:pPr>
            <w:r w:rsidRPr="00463DBF">
              <w:rPr>
                <w:rFonts w:ascii="Arial" w:hAnsi="Arial" w:cs="Arial"/>
                <w:lang w:val="en-US"/>
              </w:rPr>
              <w:t xml:space="preserve">Provide an overview of </w:t>
            </w:r>
            <w:r w:rsidR="00463DBF" w:rsidRPr="00463DBF">
              <w:rPr>
                <w:rFonts w:ascii="Arial" w:hAnsi="Arial" w:cs="Arial"/>
                <w:lang w:val="en-US"/>
              </w:rPr>
              <w:t>the various options available for implementing domestic IT systems to connect to the CTS.</w:t>
            </w:r>
          </w:p>
          <w:p w14:paraId="1FCB94E6" w14:textId="77777777" w:rsidR="001E001F" w:rsidRPr="00463DBF" w:rsidRDefault="00463DBF" w:rsidP="001E001F">
            <w:pPr>
              <w:pStyle w:val="ListParagraph"/>
              <w:numPr>
                <w:ilvl w:val="0"/>
                <w:numId w:val="6"/>
              </w:numPr>
              <w:spacing w:line="360" w:lineRule="auto"/>
              <w:rPr>
                <w:rFonts w:ascii="Arial" w:hAnsi="Arial" w:cs="Arial"/>
                <w:lang w:val="en-US"/>
              </w:rPr>
            </w:pPr>
            <w:r w:rsidRPr="00463DBF">
              <w:rPr>
                <w:rFonts w:ascii="Arial" w:hAnsi="Arial" w:cs="Arial"/>
                <w:lang w:val="en-US"/>
              </w:rPr>
              <w:t xml:space="preserve"> Share experience of a small jurisdiction that successfully implemented a low-cost off the shelf solution.</w:t>
            </w:r>
          </w:p>
          <w:p w14:paraId="3DD2CFE1" w14:textId="5D0D5292" w:rsidR="00463DBF" w:rsidRPr="001E001F" w:rsidRDefault="00463DBF" w:rsidP="001E001F">
            <w:pPr>
              <w:pStyle w:val="ListParagraph"/>
              <w:numPr>
                <w:ilvl w:val="0"/>
                <w:numId w:val="6"/>
              </w:numPr>
              <w:spacing w:line="360" w:lineRule="auto"/>
              <w:rPr>
                <w:rFonts w:ascii="Arial" w:hAnsi="Arial" w:cs="Arial"/>
                <w:b/>
                <w:bCs/>
                <w:lang w:val="en-US"/>
              </w:rPr>
            </w:pPr>
            <w:r w:rsidRPr="00463DBF">
              <w:rPr>
                <w:rFonts w:ascii="Arial" w:hAnsi="Arial" w:cs="Arial"/>
                <w:lang w:val="en-US"/>
              </w:rPr>
              <w:t>Opportunity for Q&amp;A.</w:t>
            </w:r>
          </w:p>
        </w:tc>
        <w:tc>
          <w:tcPr>
            <w:tcW w:w="2759" w:type="dxa"/>
          </w:tcPr>
          <w:p w14:paraId="15E6E1DA" w14:textId="26307A63" w:rsidR="00E1566A" w:rsidRDefault="001E001F" w:rsidP="00E1566A">
            <w:pPr>
              <w:spacing w:line="360" w:lineRule="auto"/>
              <w:rPr>
                <w:rFonts w:ascii="Arial" w:hAnsi="Arial" w:cs="Arial"/>
                <w:lang w:val="en-US"/>
              </w:rPr>
            </w:pPr>
            <w:r>
              <w:rPr>
                <w:rFonts w:ascii="Arial" w:hAnsi="Arial" w:cs="Arial"/>
                <w:lang w:val="en-US"/>
              </w:rPr>
              <w:t>Matthew Coakley, OECD</w:t>
            </w:r>
          </w:p>
          <w:p w14:paraId="17F9435C" w14:textId="77777777" w:rsidR="00820180" w:rsidRDefault="00820180" w:rsidP="00E1566A">
            <w:pPr>
              <w:spacing w:line="360" w:lineRule="auto"/>
              <w:rPr>
                <w:rFonts w:ascii="Arial" w:hAnsi="Arial" w:cs="Arial"/>
                <w:lang w:val="en-US"/>
              </w:rPr>
            </w:pPr>
          </w:p>
          <w:p w14:paraId="5B7DC04E" w14:textId="542E4B50" w:rsidR="0081092F" w:rsidRDefault="00B00258" w:rsidP="00E1566A">
            <w:pPr>
              <w:spacing w:line="360" w:lineRule="auto"/>
              <w:rPr>
                <w:rFonts w:ascii="Arial" w:hAnsi="Arial" w:cs="Arial"/>
                <w:lang w:val="en-US"/>
              </w:rPr>
            </w:pPr>
            <w:r>
              <w:rPr>
                <w:rFonts w:ascii="Arial" w:hAnsi="Arial" w:cs="Arial"/>
                <w:lang w:val="en-US"/>
              </w:rPr>
              <w:t>Ms. Mariyam Ibha Jaleel (Maldives)</w:t>
            </w:r>
          </w:p>
        </w:tc>
      </w:tr>
      <w:tr w:rsidR="00E1566A" w14:paraId="79D85DC4" w14:textId="77777777" w:rsidTr="002742A7">
        <w:tc>
          <w:tcPr>
            <w:tcW w:w="1896" w:type="dxa"/>
          </w:tcPr>
          <w:p w14:paraId="07489484" w14:textId="069ADC4C" w:rsidR="00E1566A" w:rsidRDefault="00E1566A" w:rsidP="00E1566A">
            <w:pPr>
              <w:spacing w:line="360" w:lineRule="auto"/>
              <w:jc w:val="center"/>
              <w:rPr>
                <w:rFonts w:ascii="Arial" w:hAnsi="Arial" w:cs="Arial"/>
                <w:lang w:val="en-US"/>
              </w:rPr>
            </w:pPr>
            <w:r>
              <w:rPr>
                <w:rFonts w:ascii="Arial" w:hAnsi="Arial" w:cs="Arial"/>
                <w:lang w:val="en-US"/>
              </w:rPr>
              <w:t>1</w:t>
            </w:r>
            <w:r w:rsidR="001E1C0D">
              <w:rPr>
                <w:rFonts w:ascii="Arial" w:hAnsi="Arial" w:cs="Arial"/>
                <w:lang w:val="en-US"/>
              </w:rPr>
              <w:t>0</w:t>
            </w:r>
            <w:r>
              <w:rPr>
                <w:rFonts w:ascii="Arial" w:hAnsi="Arial" w:cs="Arial"/>
                <w:lang w:val="en-US"/>
              </w:rPr>
              <w:t>h</w:t>
            </w:r>
            <w:r w:rsidR="001E1C0D">
              <w:rPr>
                <w:rFonts w:ascii="Arial" w:hAnsi="Arial" w:cs="Arial"/>
                <w:lang w:val="en-US"/>
              </w:rPr>
              <w:t>55</w:t>
            </w:r>
            <w:r>
              <w:rPr>
                <w:rFonts w:ascii="Arial" w:hAnsi="Arial" w:cs="Arial"/>
                <w:lang w:val="en-US"/>
              </w:rPr>
              <w:t>-1</w:t>
            </w:r>
            <w:r w:rsidR="001E1C0D">
              <w:rPr>
                <w:rFonts w:ascii="Arial" w:hAnsi="Arial" w:cs="Arial"/>
                <w:lang w:val="en-US"/>
              </w:rPr>
              <w:t>1</w:t>
            </w:r>
            <w:r>
              <w:rPr>
                <w:rFonts w:ascii="Arial" w:hAnsi="Arial" w:cs="Arial"/>
                <w:lang w:val="en-US"/>
              </w:rPr>
              <w:t>h</w:t>
            </w:r>
            <w:r w:rsidR="001E1C0D">
              <w:rPr>
                <w:rFonts w:ascii="Arial" w:hAnsi="Arial" w:cs="Arial"/>
                <w:lang w:val="en-US"/>
              </w:rPr>
              <w:t>45</w:t>
            </w:r>
          </w:p>
          <w:p w14:paraId="4F3CE76A" w14:textId="3916AF6B" w:rsidR="00E1566A" w:rsidRDefault="00E1566A" w:rsidP="00E1566A">
            <w:pPr>
              <w:spacing w:line="360" w:lineRule="auto"/>
              <w:jc w:val="center"/>
              <w:rPr>
                <w:rFonts w:ascii="Arial" w:hAnsi="Arial" w:cs="Arial"/>
                <w:lang w:val="en-US"/>
              </w:rPr>
            </w:pPr>
            <w:r>
              <w:rPr>
                <w:rFonts w:ascii="Arial" w:hAnsi="Arial" w:cs="Arial"/>
                <w:lang w:val="en-US"/>
              </w:rPr>
              <w:t>(</w:t>
            </w:r>
            <w:r w:rsidR="001E1C0D">
              <w:rPr>
                <w:rFonts w:ascii="Arial" w:hAnsi="Arial" w:cs="Arial"/>
                <w:lang w:val="en-US"/>
              </w:rPr>
              <w:t>50</w:t>
            </w:r>
            <w:r>
              <w:rPr>
                <w:rFonts w:ascii="Arial" w:hAnsi="Arial" w:cs="Arial"/>
                <w:lang w:val="en-US"/>
              </w:rPr>
              <w:t xml:space="preserve"> min)</w:t>
            </w:r>
          </w:p>
        </w:tc>
        <w:tc>
          <w:tcPr>
            <w:tcW w:w="5801" w:type="dxa"/>
          </w:tcPr>
          <w:p w14:paraId="263C5159" w14:textId="1E0AE379" w:rsidR="00E1566A" w:rsidRDefault="00E1566A" w:rsidP="00E1566A">
            <w:pPr>
              <w:spacing w:after="160" w:line="360" w:lineRule="auto"/>
              <w:rPr>
                <w:rFonts w:ascii="Arial" w:hAnsi="Arial" w:cs="Arial"/>
                <w:b/>
                <w:bCs/>
                <w:lang w:val="en-US"/>
              </w:rPr>
            </w:pPr>
            <w:r w:rsidRPr="00B80286">
              <w:rPr>
                <w:rFonts w:ascii="Arial" w:hAnsi="Arial" w:cs="Arial"/>
                <w:b/>
                <w:bCs/>
                <w:lang w:val="en-US"/>
              </w:rPr>
              <w:t xml:space="preserve">Session </w:t>
            </w:r>
            <w:r w:rsidR="009E6819">
              <w:rPr>
                <w:rFonts w:ascii="Arial" w:hAnsi="Arial" w:cs="Arial"/>
                <w:b/>
                <w:bCs/>
                <w:lang w:val="en-US"/>
              </w:rPr>
              <w:t>8</w:t>
            </w:r>
            <w:r>
              <w:rPr>
                <w:rFonts w:ascii="Arial" w:hAnsi="Arial" w:cs="Arial"/>
                <w:b/>
                <w:bCs/>
                <w:lang w:val="en-US"/>
              </w:rPr>
              <w:t xml:space="preserve">: </w:t>
            </w:r>
            <w:r w:rsidR="00820180">
              <w:rPr>
                <w:rFonts w:ascii="Arial" w:hAnsi="Arial" w:cs="Arial"/>
                <w:b/>
                <w:bCs/>
                <w:lang w:val="en-US"/>
              </w:rPr>
              <w:t>Using CbCR Data Effectively – The TREAT</w:t>
            </w:r>
          </w:p>
          <w:p w14:paraId="73097AA0" w14:textId="77777777" w:rsidR="00E1566A" w:rsidRDefault="00E1566A" w:rsidP="00E1566A">
            <w:pPr>
              <w:spacing w:line="360" w:lineRule="auto"/>
              <w:rPr>
                <w:rFonts w:ascii="Arial" w:hAnsi="Arial" w:cs="Arial"/>
                <w:b/>
                <w:bCs/>
                <w:lang w:val="en-US"/>
              </w:rPr>
            </w:pPr>
            <w:r>
              <w:rPr>
                <w:rFonts w:ascii="Arial" w:hAnsi="Arial" w:cs="Arial"/>
                <w:b/>
                <w:bCs/>
                <w:lang w:val="en-US"/>
              </w:rPr>
              <w:t xml:space="preserve">Target Audience: </w:t>
            </w:r>
          </w:p>
          <w:p w14:paraId="31E317DA" w14:textId="376FDB18" w:rsidR="00463DBF" w:rsidRPr="00463DBF" w:rsidRDefault="00463DBF" w:rsidP="00463DBF">
            <w:pPr>
              <w:pStyle w:val="ListParagraph"/>
              <w:numPr>
                <w:ilvl w:val="0"/>
                <w:numId w:val="6"/>
              </w:numPr>
              <w:spacing w:line="360" w:lineRule="auto"/>
              <w:rPr>
                <w:rFonts w:ascii="Arial" w:hAnsi="Arial" w:cs="Arial"/>
                <w:lang w:val="en-US"/>
              </w:rPr>
            </w:pPr>
            <w:r>
              <w:rPr>
                <w:rFonts w:ascii="Arial" w:hAnsi="Arial" w:cs="Arial"/>
                <w:lang w:val="en-US"/>
              </w:rPr>
              <w:t xml:space="preserve">Tax administration officials that use/will use CbC reports as part of their day-to-day work on risk assessment. </w:t>
            </w:r>
          </w:p>
          <w:p w14:paraId="49F36198" w14:textId="77777777" w:rsidR="00E1566A" w:rsidRDefault="00E1566A" w:rsidP="00E1566A">
            <w:pPr>
              <w:spacing w:after="160" w:line="360" w:lineRule="auto"/>
              <w:rPr>
                <w:rFonts w:ascii="Arial" w:hAnsi="Arial" w:cs="Arial"/>
                <w:b/>
                <w:bCs/>
                <w:lang w:val="en-US"/>
              </w:rPr>
            </w:pPr>
            <w:r>
              <w:rPr>
                <w:rFonts w:ascii="Arial" w:hAnsi="Arial" w:cs="Arial"/>
                <w:b/>
                <w:bCs/>
                <w:lang w:val="en-US"/>
              </w:rPr>
              <w:t>Objectives:</w:t>
            </w:r>
          </w:p>
          <w:p w14:paraId="6E86B0F9" w14:textId="46C53619" w:rsidR="00463DBF" w:rsidRPr="00463DBF" w:rsidRDefault="00463DBF" w:rsidP="00463DBF">
            <w:pPr>
              <w:pStyle w:val="ListParagraph"/>
              <w:numPr>
                <w:ilvl w:val="0"/>
                <w:numId w:val="6"/>
              </w:numPr>
              <w:spacing w:line="360" w:lineRule="auto"/>
              <w:rPr>
                <w:rFonts w:ascii="Arial" w:hAnsi="Arial" w:cs="Arial"/>
                <w:lang w:val="en-US"/>
              </w:rPr>
            </w:pPr>
            <w:r w:rsidRPr="00463DBF">
              <w:rPr>
                <w:rFonts w:ascii="Arial" w:hAnsi="Arial" w:cs="Arial"/>
                <w:lang w:val="en-US"/>
              </w:rPr>
              <w:t>Detailed guidance on the TREAT – the Tax Risk Evaluation and Assessment Tool – and its use in risk assessing the data contained in CbC reports.</w:t>
            </w:r>
          </w:p>
        </w:tc>
        <w:tc>
          <w:tcPr>
            <w:tcW w:w="2759" w:type="dxa"/>
          </w:tcPr>
          <w:p w14:paraId="2DB32116" w14:textId="77777777" w:rsidR="001E001F" w:rsidRDefault="001E001F" w:rsidP="001E001F">
            <w:pPr>
              <w:spacing w:line="360" w:lineRule="auto"/>
              <w:rPr>
                <w:rFonts w:ascii="Arial" w:hAnsi="Arial" w:cs="Arial"/>
                <w:lang w:val="en-US"/>
              </w:rPr>
            </w:pPr>
            <w:r>
              <w:rPr>
                <w:rFonts w:ascii="Arial" w:hAnsi="Arial" w:cs="Arial"/>
                <w:lang w:val="en-US"/>
              </w:rPr>
              <w:t>Matthew Coakley, OECD</w:t>
            </w:r>
          </w:p>
          <w:p w14:paraId="40403259" w14:textId="72FEA2A9" w:rsidR="00E1566A" w:rsidRDefault="00E1566A" w:rsidP="00E1566A">
            <w:pPr>
              <w:spacing w:line="360" w:lineRule="auto"/>
              <w:rPr>
                <w:rFonts w:ascii="Arial" w:hAnsi="Arial" w:cs="Arial"/>
                <w:lang w:val="en-US"/>
              </w:rPr>
            </w:pPr>
          </w:p>
        </w:tc>
      </w:tr>
      <w:tr w:rsidR="00820180" w14:paraId="11708AA6" w14:textId="77777777" w:rsidTr="002742A7">
        <w:tc>
          <w:tcPr>
            <w:tcW w:w="1896" w:type="dxa"/>
          </w:tcPr>
          <w:p w14:paraId="59B6C54A" w14:textId="120C0144" w:rsidR="00820180" w:rsidRDefault="00820180" w:rsidP="00820180">
            <w:pPr>
              <w:spacing w:line="360" w:lineRule="auto"/>
              <w:jc w:val="center"/>
              <w:rPr>
                <w:rFonts w:ascii="Arial" w:hAnsi="Arial" w:cs="Arial"/>
                <w:lang w:val="en-US"/>
              </w:rPr>
            </w:pPr>
            <w:r>
              <w:rPr>
                <w:rFonts w:ascii="Arial" w:hAnsi="Arial" w:cs="Arial"/>
                <w:lang w:val="en-US"/>
              </w:rPr>
              <w:t>1</w:t>
            </w:r>
            <w:r w:rsidR="001E1C0D">
              <w:rPr>
                <w:rFonts w:ascii="Arial" w:hAnsi="Arial" w:cs="Arial"/>
                <w:lang w:val="en-US"/>
              </w:rPr>
              <w:t>1</w:t>
            </w:r>
            <w:r>
              <w:rPr>
                <w:rFonts w:ascii="Arial" w:hAnsi="Arial" w:cs="Arial"/>
                <w:lang w:val="en-US"/>
              </w:rPr>
              <w:t>h</w:t>
            </w:r>
            <w:r w:rsidR="002742A7">
              <w:rPr>
                <w:rFonts w:ascii="Arial" w:hAnsi="Arial" w:cs="Arial"/>
                <w:lang w:val="en-US"/>
              </w:rPr>
              <w:t>45</w:t>
            </w:r>
            <w:r>
              <w:rPr>
                <w:rFonts w:ascii="Arial" w:hAnsi="Arial" w:cs="Arial"/>
                <w:lang w:val="en-US"/>
              </w:rPr>
              <w:t>- 12h</w:t>
            </w:r>
            <w:r w:rsidR="001E1C0D">
              <w:rPr>
                <w:rFonts w:ascii="Arial" w:hAnsi="Arial" w:cs="Arial"/>
                <w:lang w:val="en-US"/>
              </w:rPr>
              <w:t>0</w:t>
            </w:r>
            <w:r>
              <w:rPr>
                <w:rFonts w:ascii="Arial" w:hAnsi="Arial" w:cs="Arial"/>
                <w:lang w:val="en-US"/>
              </w:rPr>
              <w:t>0</w:t>
            </w:r>
          </w:p>
          <w:p w14:paraId="12C8953B" w14:textId="1EB13B88" w:rsidR="00820180" w:rsidRDefault="00820180" w:rsidP="00820180">
            <w:pPr>
              <w:spacing w:line="360" w:lineRule="auto"/>
              <w:jc w:val="center"/>
              <w:rPr>
                <w:rFonts w:ascii="Arial" w:hAnsi="Arial" w:cs="Arial"/>
                <w:lang w:val="en-US"/>
              </w:rPr>
            </w:pPr>
            <w:r>
              <w:rPr>
                <w:rFonts w:ascii="Arial" w:hAnsi="Arial" w:cs="Arial"/>
                <w:lang w:val="en-US"/>
              </w:rPr>
              <w:t>(1</w:t>
            </w:r>
            <w:r w:rsidR="002742A7">
              <w:rPr>
                <w:rFonts w:ascii="Arial" w:hAnsi="Arial" w:cs="Arial"/>
                <w:lang w:val="en-US"/>
              </w:rPr>
              <w:t>5</w:t>
            </w:r>
            <w:r>
              <w:rPr>
                <w:rFonts w:ascii="Arial" w:hAnsi="Arial" w:cs="Arial"/>
                <w:lang w:val="en-US"/>
              </w:rPr>
              <w:t xml:space="preserve"> min)</w:t>
            </w:r>
          </w:p>
        </w:tc>
        <w:tc>
          <w:tcPr>
            <w:tcW w:w="5801" w:type="dxa"/>
          </w:tcPr>
          <w:p w14:paraId="3411AE15" w14:textId="4AB27550" w:rsidR="00820180" w:rsidRPr="00B80286" w:rsidRDefault="00820180" w:rsidP="00E1566A">
            <w:pPr>
              <w:spacing w:line="360" w:lineRule="auto"/>
              <w:rPr>
                <w:rFonts w:ascii="Arial" w:hAnsi="Arial" w:cs="Arial"/>
                <w:b/>
                <w:bCs/>
                <w:lang w:val="en-US"/>
              </w:rPr>
            </w:pPr>
            <w:r>
              <w:rPr>
                <w:rFonts w:ascii="Arial" w:hAnsi="Arial" w:cs="Arial"/>
                <w:b/>
                <w:bCs/>
                <w:lang w:val="en-US"/>
              </w:rPr>
              <w:t>Q&amp;A and Closing Remarks</w:t>
            </w:r>
          </w:p>
        </w:tc>
        <w:tc>
          <w:tcPr>
            <w:tcW w:w="2759" w:type="dxa"/>
          </w:tcPr>
          <w:p w14:paraId="25503791" w14:textId="511CF66C" w:rsidR="00820180" w:rsidRDefault="000F0CEF" w:rsidP="00E1566A">
            <w:pPr>
              <w:spacing w:line="360" w:lineRule="auto"/>
              <w:rPr>
                <w:rFonts w:ascii="Arial" w:hAnsi="Arial" w:cs="Arial"/>
                <w:lang w:val="en-US"/>
              </w:rPr>
            </w:pPr>
            <w:r>
              <w:rPr>
                <w:rFonts w:ascii="Arial" w:hAnsi="Arial" w:cs="Arial"/>
                <w:lang w:val="en-US"/>
              </w:rPr>
              <w:t xml:space="preserve">Laurent </w:t>
            </w:r>
            <w:proofErr w:type="spellStart"/>
            <w:r>
              <w:rPr>
                <w:rFonts w:ascii="Arial" w:hAnsi="Arial" w:cs="Arial"/>
                <w:lang w:val="en-US"/>
              </w:rPr>
              <w:t>Cytermann</w:t>
            </w:r>
            <w:proofErr w:type="spellEnd"/>
            <w:r>
              <w:rPr>
                <w:rFonts w:ascii="Arial" w:hAnsi="Arial" w:cs="Arial"/>
                <w:lang w:val="en-US"/>
              </w:rPr>
              <w:t>,</w:t>
            </w:r>
            <w:r w:rsidR="001E1C0D">
              <w:rPr>
                <w:rFonts w:ascii="Arial" w:hAnsi="Arial" w:cs="Arial"/>
                <w:lang w:val="en-US"/>
              </w:rPr>
              <w:t xml:space="preserve"> OECD</w:t>
            </w:r>
          </w:p>
        </w:tc>
      </w:tr>
    </w:tbl>
    <w:p w14:paraId="295F5AA0" w14:textId="4598FCE6" w:rsidR="00B80286" w:rsidRDefault="00B80286" w:rsidP="0056289F">
      <w:pPr>
        <w:rPr>
          <w:rFonts w:ascii="Arial" w:hAnsi="Arial" w:cs="Arial"/>
          <w:lang w:val="en-US"/>
        </w:rPr>
      </w:pPr>
    </w:p>
    <w:p w14:paraId="192AEF01" w14:textId="1F1FBEF9" w:rsidR="003D45B9" w:rsidRPr="003D45B9" w:rsidRDefault="003D45B9" w:rsidP="003D45B9">
      <w:pPr>
        <w:rPr>
          <w:rFonts w:ascii="Arial" w:hAnsi="Arial" w:cs="Arial"/>
          <w:lang w:val="en-US"/>
        </w:rPr>
      </w:pPr>
    </w:p>
    <w:p w14:paraId="1FEE267C" w14:textId="0E47163A" w:rsidR="003D45B9" w:rsidRPr="003D45B9" w:rsidRDefault="003D45B9" w:rsidP="003D45B9">
      <w:pPr>
        <w:rPr>
          <w:rFonts w:ascii="Arial" w:hAnsi="Arial" w:cs="Arial"/>
          <w:lang w:val="en-US"/>
        </w:rPr>
      </w:pPr>
    </w:p>
    <w:p w14:paraId="582C64DE" w14:textId="63BA49FB" w:rsidR="005C25E3" w:rsidRDefault="005C25E3">
      <w:pPr>
        <w:rPr>
          <w:rFonts w:ascii="Arial" w:hAnsi="Arial" w:cs="Arial"/>
          <w:lang w:val="en-US"/>
        </w:rPr>
      </w:pPr>
    </w:p>
    <w:p w14:paraId="0331FE52" w14:textId="77777777" w:rsidR="00AF1B4E" w:rsidRDefault="00AF1B4E">
      <w:pPr>
        <w:rPr>
          <w:b/>
          <w:i/>
          <w:sz w:val="24"/>
        </w:rPr>
      </w:pPr>
      <w:r>
        <w:rPr>
          <w:b/>
          <w:i/>
          <w:sz w:val="24"/>
        </w:rPr>
        <w:br w:type="page"/>
      </w:r>
    </w:p>
    <w:p w14:paraId="710CE125" w14:textId="49FA278B" w:rsidR="005C25E3" w:rsidRDefault="005C25E3" w:rsidP="005C25E3">
      <w:pPr>
        <w:spacing w:before="52"/>
        <w:ind w:left="563"/>
        <w:rPr>
          <w:b/>
          <w:i/>
          <w:spacing w:val="-2"/>
          <w:sz w:val="24"/>
        </w:rPr>
      </w:pPr>
      <w:bookmarkStart w:id="7" w:name="_Hlk116552163"/>
      <w:r>
        <w:rPr>
          <w:b/>
          <w:i/>
          <w:sz w:val="24"/>
        </w:rPr>
        <w:lastRenderedPageBreak/>
        <w:t>ANNEX</w:t>
      </w:r>
      <w:r>
        <w:rPr>
          <w:b/>
          <w:i/>
          <w:spacing w:val="-3"/>
          <w:sz w:val="24"/>
        </w:rPr>
        <w:t xml:space="preserve"> </w:t>
      </w:r>
      <w:r>
        <w:rPr>
          <w:b/>
          <w:i/>
          <w:sz w:val="24"/>
        </w:rPr>
        <w:t>1:</w:t>
      </w:r>
      <w:r>
        <w:rPr>
          <w:b/>
          <w:i/>
          <w:spacing w:val="-1"/>
          <w:sz w:val="24"/>
        </w:rPr>
        <w:t xml:space="preserve"> </w:t>
      </w:r>
      <w:bookmarkStart w:id="8" w:name="KSP"/>
      <w:r>
        <w:rPr>
          <w:b/>
          <w:i/>
          <w:sz w:val="24"/>
        </w:rPr>
        <w:t>KSP</w:t>
      </w:r>
      <w:r w:rsidR="00AF1B4E" w:rsidRPr="00AF1B4E">
        <w:rPr>
          <w:b/>
          <w:i/>
          <w:sz w:val="24"/>
          <w:vertAlign w:val="subscript"/>
        </w:rPr>
        <w:t>TA</w:t>
      </w:r>
      <w:r>
        <w:rPr>
          <w:b/>
          <w:i/>
          <w:spacing w:val="-1"/>
          <w:sz w:val="24"/>
        </w:rPr>
        <w:t xml:space="preserve"> </w:t>
      </w:r>
      <w:bookmarkEnd w:id="8"/>
      <w:r>
        <w:rPr>
          <w:b/>
          <w:i/>
          <w:spacing w:val="-2"/>
          <w:sz w:val="24"/>
        </w:rPr>
        <w:t>REGISTRATION</w:t>
      </w:r>
    </w:p>
    <w:p w14:paraId="50B1EB72" w14:textId="5F3391A9" w:rsidR="005C25E3" w:rsidRDefault="005C25E3" w:rsidP="005C25E3">
      <w:pPr>
        <w:spacing w:before="52"/>
        <w:ind w:left="563"/>
        <w:rPr>
          <w:b/>
          <w:i/>
          <w:spacing w:val="-2"/>
          <w:sz w:val="24"/>
        </w:rPr>
      </w:pPr>
    </w:p>
    <w:p w14:paraId="2774EE6C" w14:textId="3D7E828F" w:rsidR="00234EDB" w:rsidRDefault="005C25E3" w:rsidP="00146233">
      <w:pPr>
        <w:pStyle w:val="BodyText"/>
        <w:spacing w:before="100"/>
        <w:ind w:left="142"/>
        <w:rPr>
          <w:sz w:val="14"/>
        </w:rPr>
      </w:pPr>
      <w:r>
        <w:rPr>
          <w:position w:val="1"/>
        </w:rPr>
        <w:t>Follow</w:t>
      </w:r>
      <w:r>
        <w:rPr>
          <w:spacing w:val="-4"/>
          <w:position w:val="1"/>
        </w:rPr>
        <w:t xml:space="preserve"> </w:t>
      </w:r>
      <w:r>
        <w:rPr>
          <w:position w:val="1"/>
        </w:rPr>
        <w:t>the</w:t>
      </w:r>
      <w:r>
        <w:rPr>
          <w:spacing w:val="-5"/>
          <w:position w:val="1"/>
        </w:rPr>
        <w:t xml:space="preserve"> </w:t>
      </w:r>
      <w:r>
        <w:rPr>
          <w:position w:val="1"/>
        </w:rPr>
        <w:t>steps</w:t>
      </w:r>
      <w:r>
        <w:rPr>
          <w:spacing w:val="-5"/>
          <w:position w:val="1"/>
        </w:rPr>
        <w:t xml:space="preserve"> </w:t>
      </w:r>
      <w:r>
        <w:rPr>
          <w:position w:val="1"/>
        </w:rPr>
        <w:t>below</w:t>
      </w:r>
      <w:r>
        <w:rPr>
          <w:spacing w:val="-2"/>
          <w:position w:val="1"/>
        </w:rPr>
        <w:t xml:space="preserve"> </w:t>
      </w:r>
      <w:r>
        <w:rPr>
          <w:position w:val="1"/>
        </w:rPr>
        <w:t>to</w:t>
      </w:r>
      <w:r>
        <w:rPr>
          <w:spacing w:val="-1"/>
          <w:position w:val="1"/>
        </w:rPr>
        <w:t xml:space="preserve"> </w:t>
      </w:r>
      <w:r>
        <w:rPr>
          <w:position w:val="1"/>
        </w:rPr>
        <w:t>register</w:t>
      </w:r>
      <w:r>
        <w:rPr>
          <w:spacing w:val="-2"/>
          <w:position w:val="1"/>
        </w:rPr>
        <w:t xml:space="preserve"> </w:t>
      </w:r>
      <w:r>
        <w:rPr>
          <w:position w:val="1"/>
        </w:rPr>
        <w:t>for</w:t>
      </w:r>
      <w:r>
        <w:rPr>
          <w:spacing w:val="-4"/>
          <w:position w:val="1"/>
        </w:rPr>
        <w:t xml:space="preserve"> </w:t>
      </w:r>
      <w:r>
        <w:rPr>
          <w:position w:val="1"/>
        </w:rPr>
        <w:t>the</w:t>
      </w:r>
      <w:r>
        <w:rPr>
          <w:spacing w:val="-2"/>
          <w:position w:val="1"/>
        </w:rPr>
        <w:t xml:space="preserve"> KSP</w:t>
      </w:r>
      <w:r>
        <w:rPr>
          <w:spacing w:val="-2"/>
          <w:sz w:val="14"/>
        </w:rPr>
        <w:t>TA</w:t>
      </w:r>
      <w:r w:rsidR="00AF1B4E">
        <w:rPr>
          <w:spacing w:val="-2"/>
          <w:sz w:val="14"/>
        </w:rPr>
        <w:t>.</w:t>
      </w:r>
    </w:p>
    <w:p w14:paraId="22D60054" w14:textId="06D75FA6" w:rsidR="00234EDB" w:rsidRDefault="00234EDB" w:rsidP="005C25E3">
      <w:pPr>
        <w:pStyle w:val="BodyText"/>
        <w:spacing w:before="4"/>
        <w:rPr>
          <w:sz w:val="14"/>
        </w:rPr>
      </w:pPr>
    </w:p>
    <w:p w14:paraId="0F7D2193" w14:textId="4E7DB5B4" w:rsidR="00234EDB" w:rsidRDefault="00234EDB" w:rsidP="005C25E3">
      <w:pPr>
        <w:pStyle w:val="BodyText"/>
        <w:spacing w:before="4"/>
        <w:rPr>
          <w:sz w:val="14"/>
        </w:rPr>
      </w:pPr>
    </w:p>
    <w:p w14:paraId="47B0A829" w14:textId="5F300AB4" w:rsidR="00234EDB" w:rsidRDefault="00234EDB" w:rsidP="005C25E3">
      <w:pPr>
        <w:pStyle w:val="BodyText"/>
        <w:spacing w:before="4"/>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34EDB" w14:paraId="163EAF31" w14:textId="77777777" w:rsidTr="00176648">
        <w:trPr>
          <w:trHeight w:val="9448"/>
        </w:trPr>
        <w:tc>
          <w:tcPr>
            <w:tcW w:w="5228" w:type="dxa"/>
          </w:tcPr>
          <w:p w14:paraId="628A05D6" w14:textId="379CC21D" w:rsidR="00DB6399" w:rsidRPr="00DB6399" w:rsidRDefault="00DB6399" w:rsidP="009F7724">
            <w:pPr>
              <w:pStyle w:val="BodyText"/>
              <w:numPr>
                <w:ilvl w:val="0"/>
                <w:numId w:val="5"/>
              </w:numPr>
              <w:spacing w:before="4" w:after="120"/>
              <w:ind w:left="306" w:hanging="306"/>
              <w:rPr>
                <w:sz w:val="14"/>
              </w:rPr>
            </w:pPr>
            <w:r>
              <w:rPr>
                <w:sz w:val="20"/>
              </w:rPr>
              <w:t xml:space="preserve"> </w:t>
            </w:r>
            <w:r w:rsidR="00580364" w:rsidRPr="00AF1B4E">
              <w:rPr>
                <w:sz w:val="20"/>
              </w:rPr>
              <w:t>Go</w:t>
            </w:r>
            <w:r w:rsidR="00580364" w:rsidRPr="00AF1B4E">
              <w:rPr>
                <w:spacing w:val="-3"/>
                <w:sz w:val="20"/>
              </w:rPr>
              <w:t xml:space="preserve"> </w:t>
            </w:r>
            <w:r w:rsidR="00580364" w:rsidRPr="00AF1B4E">
              <w:rPr>
                <w:sz w:val="20"/>
              </w:rPr>
              <w:t>to</w:t>
            </w:r>
            <w:r w:rsidR="00580364" w:rsidRPr="00AF1B4E">
              <w:rPr>
                <w:spacing w:val="-4"/>
                <w:sz w:val="20"/>
              </w:rPr>
              <w:t xml:space="preserve"> </w:t>
            </w:r>
            <w:hyperlink r:id="rId12" w:history="1">
              <w:r w:rsidR="00580364" w:rsidRPr="00AF1B4E">
                <w:rPr>
                  <w:rStyle w:val="Hyperlink"/>
                  <w:spacing w:val="-4"/>
                  <w:sz w:val="20"/>
                </w:rPr>
                <w:t>www.ksp-ta.org</w:t>
              </w:r>
            </w:hyperlink>
            <w:r w:rsidR="00580364">
              <w:rPr>
                <w:spacing w:val="-4"/>
                <w:sz w:val="20"/>
              </w:rPr>
              <w:t xml:space="preserve">. </w:t>
            </w:r>
          </w:p>
          <w:p w14:paraId="04DCB715" w14:textId="5DD5D410" w:rsidR="00234EDB" w:rsidRDefault="00DB6399" w:rsidP="00DB6399">
            <w:pPr>
              <w:pStyle w:val="BodyText"/>
              <w:spacing w:before="4"/>
              <w:ind w:left="306"/>
              <w:rPr>
                <w:sz w:val="14"/>
              </w:rPr>
            </w:pPr>
            <w:r>
              <w:rPr>
                <w:noProof/>
                <w:lang w:eastAsia="en-CA"/>
              </w:rPr>
              <w:drawing>
                <wp:anchor distT="0" distB="0" distL="114300" distR="114300" simplePos="0" relativeHeight="251658240" behindDoc="0" locked="0" layoutInCell="1" allowOverlap="1" wp14:anchorId="34F6DD9C" wp14:editId="771CADFA">
                  <wp:simplePos x="0" y="0"/>
                  <wp:positionH relativeFrom="column">
                    <wp:posOffset>3810</wp:posOffset>
                  </wp:positionH>
                  <wp:positionV relativeFrom="page">
                    <wp:posOffset>843394</wp:posOffset>
                  </wp:positionV>
                  <wp:extent cx="3178303" cy="3938905"/>
                  <wp:effectExtent l="19050" t="19050" r="22225" b="2349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178303" cy="3938905"/>
                          </a:xfrm>
                          <a:prstGeom prst="rect">
                            <a:avLst/>
                          </a:prstGeom>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580364">
              <w:rPr>
                <w:spacing w:val="-4"/>
                <w:sz w:val="20"/>
              </w:rPr>
              <w:t xml:space="preserve"> </w:t>
            </w:r>
            <w:r w:rsidR="00580364" w:rsidRPr="00AF1B4E">
              <w:rPr>
                <w:w w:val="105"/>
                <w:sz w:val="20"/>
                <w:szCs w:val="20"/>
              </w:rPr>
              <w:t>Click “</w:t>
            </w:r>
            <w:r w:rsidR="00580364" w:rsidRPr="00AF1B4E">
              <w:rPr>
                <w:b/>
                <w:color w:val="006666"/>
                <w:w w:val="105"/>
                <w:sz w:val="20"/>
                <w:szCs w:val="20"/>
              </w:rPr>
              <w:t>Create your account</w:t>
            </w:r>
            <w:r w:rsidR="00580364" w:rsidRPr="00AF1B4E">
              <w:rPr>
                <w:b/>
                <w:color w:val="006666"/>
                <w:spacing w:val="-8"/>
                <w:w w:val="105"/>
                <w:sz w:val="20"/>
                <w:szCs w:val="20"/>
              </w:rPr>
              <w:t xml:space="preserve"> </w:t>
            </w:r>
            <w:r w:rsidR="00580364" w:rsidRPr="00AF1B4E">
              <w:rPr>
                <w:b/>
                <w:color w:val="006666"/>
                <w:w w:val="105"/>
                <w:sz w:val="20"/>
                <w:szCs w:val="20"/>
              </w:rPr>
              <w:t>here.</w:t>
            </w:r>
            <w:r w:rsidR="00580364" w:rsidRPr="00AF1B4E">
              <w:rPr>
                <w:w w:val="105"/>
                <w:sz w:val="20"/>
                <w:szCs w:val="20"/>
              </w:rPr>
              <w:t>”</w:t>
            </w:r>
            <w:r w:rsidR="00580364">
              <w:rPr>
                <w:w w:val="105"/>
                <w:sz w:val="20"/>
                <w:szCs w:val="20"/>
              </w:rPr>
              <w:tab/>
            </w:r>
          </w:p>
        </w:tc>
        <w:tc>
          <w:tcPr>
            <w:tcW w:w="5228" w:type="dxa"/>
          </w:tcPr>
          <w:p w14:paraId="0BECE7BC" w14:textId="2F93DDD8" w:rsidR="00580364" w:rsidRDefault="00580364" w:rsidP="00146233">
            <w:pPr>
              <w:pStyle w:val="TableParagraph"/>
              <w:numPr>
                <w:ilvl w:val="0"/>
                <w:numId w:val="5"/>
              </w:numPr>
              <w:spacing w:after="120" w:line="238" w:lineRule="auto"/>
              <w:ind w:left="323" w:hanging="357"/>
              <w:rPr>
                <w:sz w:val="20"/>
              </w:rPr>
            </w:pPr>
            <w:r w:rsidRPr="00AF1B4E">
              <w:rPr>
                <w:sz w:val="20"/>
              </w:rPr>
              <w:t>Complete</w:t>
            </w:r>
            <w:r w:rsidRPr="00AF1B4E">
              <w:rPr>
                <w:spacing w:val="-4"/>
                <w:sz w:val="20"/>
              </w:rPr>
              <w:t xml:space="preserve"> </w:t>
            </w:r>
            <w:r w:rsidRPr="00AF1B4E">
              <w:rPr>
                <w:sz w:val="20"/>
              </w:rPr>
              <w:t>all</w:t>
            </w:r>
            <w:r w:rsidRPr="00AF1B4E">
              <w:rPr>
                <w:spacing w:val="-3"/>
                <w:sz w:val="20"/>
              </w:rPr>
              <w:t xml:space="preserve"> </w:t>
            </w:r>
            <w:r w:rsidRPr="00AF1B4E">
              <w:rPr>
                <w:sz w:val="20"/>
              </w:rPr>
              <w:t>fields</w:t>
            </w:r>
            <w:r w:rsidRPr="00AF1B4E">
              <w:rPr>
                <w:spacing w:val="-5"/>
                <w:sz w:val="20"/>
              </w:rPr>
              <w:t xml:space="preserve"> </w:t>
            </w:r>
            <w:r w:rsidRPr="00AF1B4E">
              <w:rPr>
                <w:sz w:val="20"/>
              </w:rPr>
              <w:t>of</w:t>
            </w:r>
            <w:r w:rsidRPr="00AF1B4E">
              <w:rPr>
                <w:spacing w:val="-5"/>
                <w:sz w:val="20"/>
              </w:rPr>
              <w:t xml:space="preserve"> </w:t>
            </w:r>
            <w:r w:rsidRPr="00AF1B4E">
              <w:rPr>
                <w:sz w:val="20"/>
              </w:rPr>
              <w:t>the</w:t>
            </w:r>
            <w:r w:rsidRPr="00AF1B4E">
              <w:rPr>
                <w:spacing w:val="-4"/>
                <w:sz w:val="20"/>
              </w:rPr>
              <w:t xml:space="preserve"> </w:t>
            </w:r>
            <w:r w:rsidRPr="00AF1B4E">
              <w:rPr>
                <w:sz w:val="20"/>
              </w:rPr>
              <w:t>online</w:t>
            </w:r>
            <w:r w:rsidRPr="00AF1B4E">
              <w:rPr>
                <w:spacing w:val="-4"/>
                <w:sz w:val="20"/>
              </w:rPr>
              <w:t xml:space="preserve"> </w:t>
            </w:r>
            <w:r w:rsidRPr="00AF1B4E">
              <w:rPr>
                <w:sz w:val="20"/>
              </w:rPr>
              <w:t>form</w:t>
            </w:r>
            <w:r w:rsidR="00F30CF3">
              <w:rPr>
                <w:sz w:val="20"/>
              </w:rPr>
              <w:t xml:space="preserve"> and</w:t>
            </w:r>
            <w:r w:rsidRPr="00AF1B4E">
              <w:rPr>
                <w:sz w:val="20"/>
              </w:rPr>
              <w:t xml:space="preserve"> </w:t>
            </w:r>
            <w:r w:rsidR="00F30CF3">
              <w:rPr>
                <w:sz w:val="20"/>
              </w:rPr>
              <w:t>use</w:t>
            </w:r>
            <w:r w:rsidRPr="00AF1B4E">
              <w:rPr>
                <w:sz w:val="20"/>
              </w:rPr>
              <w:t xml:space="preserve"> your work email</w:t>
            </w:r>
            <w:r w:rsidR="00720869">
              <w:rPr>
                <w:sz w:val="20"/>
              </w:rPr>
              <w:t xml:space="preserve">. </w:t>
            </w:r>
            <w:r w:rsidRPr="00AF1B4E">
              <w:rPr>
                <w:sz w:val="20"/>
              </w:rPr>
              <w:t xml:space="preserve"> In the field country/organization, select your own country.</w:t>
            </w:r>
          </w:p>
          <w:p w14:paraId="1389B2C0" w14:textId="24413535" w:rsidR="00720869" w:rsidRPr="00AF1B4E" w:rsidRDefault="00F30CF3" w:rsidP="00F30CF3">
            <w:pPr>
              <w:pStyle w:val="TableParagraph"/>
              <w:spacing w:after="120" w:line="238" w:lineRule="auto"/>
              <w:ind w:left="-34"/>
              <w:rPr>
                <w:sz w:val="20"/>
              </w:rPr>
            </w:pPr>
            <w:r>
              <w:rPr>
                <w:spacing w:val="-4"/>
                <w:sz w:val="20"/>
              </w:rPr>
              <w:t xml:space="preserve">         C</w:t>
            </w:r>
            <w:r w:rsidR="00720869">
              <w:rPr>
                <w:spacing w:val="-4"/>
                <w:sz w:val="20"/>
              </w:rPr>
              <w:t>lick “Register”</w:t>
            </w:r>
            <w:r>
              <w:rPr>
                <w:spacing w:val="-4"/>
                <w:sz w:val="20"/>
              </w:rPr>
              <w:t xml:space="preserve"> at the bottom.</w:t>
            </w:r>
          </w:p>
          <w:p w14:paraId="22684C2A" w14:textId="4C8B4D9E" w:rsidR="00234EDB" w:rsidRDefault="00AA0AE0" w:rsidP="005C25E3">
            <w:pPr>
              <w:pStyle w:val="BodyText"/>
              <w:spacing w:before="4"/>
              <w:rPr>
                <w:sz w:val="14"/>
              </w:rPr>
            </w:pPr>
            <w:r>
              <w:rPr>
                <w:noProof/>
                <w:lang w:eastAsia="en-CA"/>
              </w:rPr>
              <w:drawing>
                <wp:anchor distT="0" distB="0" distL="114300" distR="114300" simplePos="0" relativeHeight="251659264" behindDoc="0" locked="0" layoutInCell="1" allowOverlap="1" wp14:anchorId="5648EDBA" wp14:editId="5667E6CC">
                  <wp:simplePos x="0" y="0"/>
                  <wp:positionH relativeFrom="column">
                    <wp:posOffset>146144</wp:posOffset>
                  </wp:positionH>
                  <wp:positionV relativeFrom="paragraph">
                    <wp:posOffset>75659</wp:posOffset>
                  </wp:positionV>
                  <wp:extent cx="3079925" cy="5227320"/>
                  <wp:effectExtent l="19050" t="19050" r="25400" b="114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86177" cy="5237932"/>
                          </a:xfrm>
                          <a:prstGeom prst="rect">
                            <a:avLst/>
                          </a:prstGeom>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p>
        </w:tc>
      </w:tr>
    </w:tbl>
    <w:p w14:paraId="3AA57D0E" w14:textId="79BB43A5" w:rsidR="00146233" w:rsidRDefault="00146233" w:rsidP="005C25E3">
      <w:pPr>
        <w:pStyle w:val="BodyText"/>
        <w:spacing w:before="4"/>
        <w:rPr>
          <w:sz w:val="14"/>
        </w:rPr>
      </w:pPr>
    </w:p>
    <w:tbl>
      <w:tblPr>
        <w:tblStyle w:val="TableGrid"/>
        <w:tblpPr w:leftFromText="180" w:rightFromText="180" w:vertAnchor="text" w:horzAnchor="margin"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9F7724" w14:paraId="37E2F76B" w14:textId="77777777" w:rsidTr="00176648">
        <w:trPr>
          <w:trHeight w:val="806"/>
        </w:trPr>
        <w:tc>
          <w:tcPr>
            <w:tcW w:w="10456" w:type="dxa"/>
          </w:tcPr>
          <w:p w14:paraId="61304CE2" w14:textId="7102A950" w:rsidR="009F7724" w:rsidRPr="00720869" w:rsidRDefault="00720869" w:rsidP="00720869">
            <w:pPr>
              <w:pStyle w:val="TableParagraph"/>
              <w:numPr>
                <w:ilvl w:val="0"/>
                <w:numId w:val="5"/>
              </w:numPr>
              <w:spacing w:before="79" w:after="120" w:line="252" w:lineRule="auto"/>
              <w:ind w:left="306" w:right="244" w:hanging="306"/>
              <w:rPr>
                <w:sz w:val="20"/>
              </w:rPr>
            </w:pPr>
            <w:r>
              <w:rPr>
                <w:spacing w:val="-4"/>
                <w:sz w:val="20"/>
              </w:rPr>
              <w:t>You will receive</w:t>
            </w:r>
            <w:r w:rsidR="009F7724" w:rsidRPr="00DB6399">
              <w:rPr>
                <w:spacing w:val="-3"/>
                <w:sz w:val="20"/>
              </w:rPr>
              <w:t xml:space="preserve"> </w:t>
            </w:r>
            <w:r w:rsidR="009F7724" w:rsidRPr="00DB6399">
              <w:rPr>
                <w:sz w:val="20"/>
              </w:rPr>
              <w:t>an</w:t>
            </w:r>
            <w:r w:rsidR="009F7724" w:rsidRPr="00DB6399">
              <w:rPr>
                <w:spacing w:val="-3"/>
                <w:sz w:val="20"/>
              </w:rPr>
              <w:t xml:space="preserve"> </w:t>
            </w:r>
            <w:r w:rsidR="009F7724" w:rsidRPr="00DB6399">
              <w:rPr>
                <w:sz w:val="20"/>
              </w:rPr>
              <w:t>email</w:t>
            </w:r>
            <w:r w:rsidR="009F7724" w:rsidRPr="00DB6399">
              <w:rPr>
                <w:spacing w:val="-3"/>
                <w:sz w:val="20"/>
              </w:rPr>
              <w:t xml:space="preserve"> </w:t>
            </w:r>
            <w:r w:rsidR="009F7724" w:rsidRPr="00DB6399">
              <w:rPr>
                <w:sz w:val="20"/>
              </w:rPr>
              <w:t xml:space="preserve">to </w:t>
            </w:r>
            <w:r w:rsidR="009F7724" w:rsidRPr="00720869">
              <w:rPr>
                <w:bCs/>
                <w:sz w:val="20"/>
              </w:rPr>
              <w:t>confirm</w:t>
            </w:r>
            <w:r w:rsidR="009F7724" w:rsidRPr="00720869">
              <w:rPr>
                <w:bCs/>
                <w:spacing w:val="-3"/>
                <w:sz w:val="20"/>
              </w:rPr>
              <w:t xml:space="preserve"> </w:t>
            </w:r>
            <w:r w:rsidR="009F7724" w:rsidRPr="00720869">
              <w:rPr>
                <w:bCs/>
                <w:sz w:val="20"/>
              </w:rPr>
              <w:t>your</w:t>
            </w:r>
            <w:r w:rsidR="009F7724" w:rsidRPr="00720869">
              <w:rPr>
                <w:bCs/>
                <w:spacing w:val="-3"/>
                <w:sz w:val="20"/>
              </w:rPr>
              <w:t xml:space="preserve"> </w:t>
            </w:r>
            <w:r w:rsidR="009F7724" w:rsidRPr="00720869">
              <w:rPr>
                <w:bCs/>
                <w:sz w:val="20"/>
              </w:rPr>
              <w:t>email</w:t>
            </w:r>
            <w:r w:rsidR="009F7724" w:rsidRPr="00720869">
              <w:rPr>
                <w:bCs/>
                <w:spacing w:val="-4"/>
                <w:sz w:val="20"/>
              </w:rPr>
              <w:t xml:space="preserve"> </w:t>
            </w:r>
            <w:r w:rsidR="009F7724" w:rsidRPr="00720869">
              <w:rPr>
                <w:bCs/>
                <w:sz w:val="20"/>
              </w:rPr>
              <w:t>address</w:t>
            </w:r>
            <w:r>
              <w:rPr>
                <w:bCs/>
                <w:sz w:val="20"/>
              </w:rPr>
              <w:t>, cl</w:t>
            </w:r>
            <w:r w:rsidR="009F7724" w:rsidRPr="00146233">
              <w:rPr>
                <w:sz w:val="20"/>
              </w:rPr>
              <w:t>ick</w:t>
            </w:r>
            <w:r>
              <w:rPr>
                <w:sz w:val="20"/>
              </w:rPr>
              <w:t xml:space="preserve"> “</w:t>
            </w:r>
            <w:r w:rsidRPr="00720869">
              <w:rPr>
                <w:b/>
                <w:bCs/>
                <w:color w:val="008080"/>
                <w:sz w:val="20"/>
              </w:rPr>
              <w:t>Confirm account</w:t>
            </w:r>
            <w:r>
              <w:rPr>
                <w:sz w:val="20"/>
              </w:rPr>
              <w:t>”</w:t>
            </w:r>
            <w:r w:rsidR="009F7724" w:rsidRPr="00146233">
              <w:rPr>
                <w:sz w:val="20"/>
              </w:rPr>
              <w:t>.</w:t>
            </w:r>
            <w:r>
              <w:rPr>
                <w:sz w:val="20"/>
              </w:rPr>
              <w:t xml:space="preserve">  </w:t>
            </w:r>
            <w:r w:rsidR="009F7724" w:rsidRPr="00720869">
              <w:rPr>
                <w:spacing w:val="-3"/>
                <w:sz w:val="20"/>
              </w:rPr>
              <w:t xml:space="preserve"> </w:t>
            </w:r>
            <w:r w:rsidR="009F7724" w:rsidRPr="00720869">
              <w:rPr>
                <w:sz w:val="20"/>
              </w:rPr>
              <w:t>If</w:t>
            </w:r>
            <w:r w:rsidR="009F7724" w:rsidRPr="00720869">
              <w:rPr>
                <w:spacing w:val="-4"/>
                <w:sz w:val="20"/>
              </w:rPr>
              <w:t xml:space="preserve"> </w:t>
            </w:r>
            <w:r w:rsidR="009F7724" w:rsidRPr="00720869">
              <w:rPr>
                <w:sz w:val="20"/>
              </w:rPr>
              <w:t>you</w:t>
            </w:r>
            <w:r w:rsidR="009F7724" w:rsidRPr="00720869">
              <w:rPr>
                <w:spacing w:val="-3"/>
                <w:sz w:val="20"/>
              </w:rPr>
              <w:t xml:space="preserve"> </w:t>
            </w:r>
            <w:r w:rsidR="009F7724" w:rsidRPr="00720869">
              <w:rPr>
                <w:sz w:val="20"/>
              </w:rPr>
              <w:t>have</w:t>
            </w:r>
            <w:r w:rsidR="009F7724" w:rsidRPr="00720869">
              <w:rPr>
                <w:spacing w:val="-4"/>
                <w:sz w:val="20"/>
              </w:rPr>
              <w:t xml:space="preserve"> </w:t>
            </w:r>
            <w:r w:rsidR="009F7724" w:rsidRPr="00720869">
              <w:rPr>
                <w:sz w:val="20"/>
              </w:rPr>
              <w:t>not</w:t>
            </w:r>
            <w:r w:rsidR="009F7724" w:rsidRPr="00720869">
              <w:rPr>
                <w:spacing w:val="-3"/>
                <w:sz w:val="20"/>
              </w:rPr>
              <w:t xml:space="preserve"> </w:t>
            </w:r>
            <w:r w:rsidR="009F7724" w:rsidRPr="00720869">
              <w:rPr>
                <w:sz w:val="20"/>
              </w:rPr>
              <w:t>received</w:t>
            </w:r>
            <w:r w:rsidR="009F7724" w:rsidRPr="00720869">
              <w:rPr>
                <w:spacing w:val="-3"/>
                <w:sz w:val="20"/>
              </w:rPr>
              <w:t xml:space="preserve"> </w:t>
            </w:r>
            <w:r w:rsidR="009F7724" w:rsidRPr="00720869">
              <w:rPr>
                <w:sz w:val="20"/>
              </w:rPr>
              <w:t>it,</w:t>
            </w:r>
            <w:r w:rsidR="009F7724" w:rsidRPr="00720869">
              <w:rPr>
                <w:spacing w:val="-3"/>
                <w:sz w:val="20"/>
              </w:rPr>
              <w:t xml:space="preserve"> </w:t>
            </w:r>
            <w:r w:rsidR="009F7724" w:rsidRPr="00720869">
              <w:rPr>
                <w:sz w:val="20"/>
              </w:rPr>
              <w:t>check</w:t>
            </w:r>
            <w:r w:rsidR="009F7724" w:rsidRPr="00720869">
              <w:rPr>
                <w:spacing w:val="-3"/>
                <w:sz w:val="20"/>
              </w:rPr>
              <w:t xml:space="preserve"> </w:t>
            </w:r>
            <w:r w:rsidR="009F7724" w:rsidRPr="00720869">
              <w:rPr>
                <w:sz w:val="20"/>
              </w:rPr>
              <w:t xml:space="preserve">your </w:t>
            </w:r>
            <w:r w:rsidR="009F7724" w:rsidRPr="00720869">
              <w:rPr>
                <w:bCs/>
                <w:sz w:val="20"/>
              </w:rPr>
              <w:t>spam</w:t>
            </w:r>
            <w:r w:rsidR="009F7724" w:rsidRPr="00720869">
              <w:rPr>
                <w:bCs/>
                <w:spacing w:val="-3"/>
                <w:sz w:val="20"/>
              </w:rPr>
              <w:t xml:space="preserve"> </w:t>
            </w:r>
            <w:proofErr w:type="gramStart"/>
            <w:r w:rsidR="009F7724" w:rsidRPr="00720869">
              <w:rPr>
                <w:bCs/>
                <w:sz w:val="20"/>
              </w:rPr>
              <w:t>folder</w:t>
            </w:r>
            <w:proofErr w:type="gramEnd"/>
            <w:r w:rsidR="009F7724" w:rsidRPr="00720869">
              <w:rPr>
                <w:bCs/>
                <w:sz w:val="20"/>
              </w:rPr>
              <w:t xml:space="preserve"> or</w:t>
            </w:r>
            <w:r w:rsidR="009F7724" w:rsidRPr="00720869">
              <w:rPr>
                <w:b/>
                <w:sz w:val="20"/>
              </w:rPr>
              <w:t xml:space="preserve"> </w:t>
            </w:r>
            <w:r w:rsidR="009F7724" w:rsidRPr="00720869">
              <w:rPr>
                <w:sz w:val="20"/>
              </w:rPr>
              <w:t xml:space="preserve">contact </w:t>
            </w:r>
            <w:hyperlink r:id="rId15">
              <w:r w:rsidR="009F7724" w:rsidRPr="00720869">
                <w:rPr>
                  <w:color w:val="0462C1"/>
                  <w:sz w:val="20"/>
                  <w:u w:val="single" w:color="0462C1"/>
                </w:rPr>
                <w:t>info@ksp-ta.org</w:t>
              </w:r>
            </w:hyperlink>
          </w:p>
          <w:p w14:paraId="5FEDEC7F" w14:textId="0E265861" w:rsidR="009F7724" w:rsidRPr="00411DA8" w:rsidRDefault="009F7724" w:rsidP="00586349">
            <w:pPr>
              <w:pStyle w:val="TableParagraph"/>
              <w:numPr>
                <w:ilvl w:val="0"/>
                <w:numId w:val="5"/>
              </w:numPr>
              <w:spacing w:before="79" w:line="252" w:lineRule="auto"/>
              <w:ind w:left="306" w:right="244" w:hanging="306"/>
              <w:rPr>
                <w:sz w:val="20"/>
                <w:szCs w:val="20"/>
              </w:rPr>
            </w:pPr>
            <w:r w:rsidRPr="009F7724">
              <w:rPr>
                <w:sz w:val="20"/>
                <w:szCs w:val="20"/>
              </w:rPr>
              <w:t xml:space="preserve">Once approved, </w:t>
            </w:r>
            <w:r w:rsidRPr="009F7724">
              <w:rPr>
                <w:w w:val="105"/>
                <w:sz w:val="20"/>
                <w:szCs w:val="20"/>
              </w:rPr>
              <w:t xml:space="preserve">you will receive another email. </w:t>
            </w:r>
            <w:r w:rsidR="00720869">
              <w:rPr>
                <w:w w:val="105"/>
                <w:sz w:val="20"/>
                <w:szCs w:val="20"/>
              </w:rPr>
              <w:t xml:space="preserve"> </w:t>
            </w:r>
            <w:r w:rsidRPr="009F7724">
              <w:rPr>
                <w:w w:val="105"/>
                <w:sz w:val="20"/>
                <w:szCs w:val="20"/>
              </w:rPr>
              <w:t>Click “</w:t>
            </w:r>
            <w:r w:rsidRPr="009F7724">
              <w:rPr>
                <w:b/>
                <w:color w:val="008080"/>
                <w:w w:val="105"/>
                <w:sz w:val="20"/>
                <w:szCs w:val="20"/>
              </w:rPr>
              <w:t>Create password</w:t>
            </w:r>
            <w:r w:rsidRPr="009F7724">
              <w:rPr>
                <w:w w:val="105"/>
                <w:sz w:val="20"/>
                <w:szCs w:val="20"/>
              </w:rPr>
              <w:t>” and follow the instructions.</w:t>
            </w:r>
            <w:r w:rsidRPr="009F7724">
              <w:rPr>
                <w:position w:val="1"/>
                <w:sz w:val="20"/>
                <w:szCs w:val="20"/>
              </w:rPr>
              <w:t xml:space="preserve"> </w:t>
            </w:r>
            <w:r w:rsidR="00411DA8">
              <w:rPr>
                <w:position w:val="1"/>
                <w:sz w:val="20"/>
                <w:szCs w:val="20"/>
              </w:rPr>
              <w:t xml:space="preserve"> </w:t>
            </w:r>
            <w:r w:rsidRPr="009F7724">
              <w:rPr>
                <w:position w:val="1"/>
                <w:sz w:val="20"/>
                <w:szCs w:val="20"/>
              </w:rPr>
              <w:t>You</w:t>
            </w:r>
            <w:r w:rsidRPr="009F7724">
              <w:rPr>
                <w:spacing w:val="-4"/>
                <w:position w:val="1"/>
                <w:sz w:val="20"/>
                <w:szCs w:val="20"/>
              </w:rPr>
              <w:t xml:space="preserve"> </w:t>
            </w:r>
            <w:r w:rsidRPr="009F7724">
              <w:rPr>
                <w:position w:val="1"/>
                <w:sz w:val="20"/>
                <w:szCs w:val="20"/>
              </w:rPr>
              <w:t>can</w:t>
            </w:r>
            <w:r w:rsidRPr="009F7724">
              <w:rPr>
                <w:spacing w:val="-4"/>
                <w:position w:val="1"/>
                <w:sz w:val="20"/>
                <w:szCs w:val="20"/>
              </w:rPr>
              <w:t xml:space="preserve"> </w:t>
            </w:r>
            <w:r w:rsidRPr="009F7724">
              <w:rPr>
                <w:position w:val="1"/>
                <w:sz w:val="20"/>
                <w:szCs w:val="20"/>
              </w:rPr>
              <w:t>now</w:t>
            </w:r>
            <w:r w:rsidRPr="009F7724">
              <w:rPr>
                <w:spacing w:val="-5"/>
                <w:position w:val="1"/>
                <w:sz w:val="20"/>
                <w:szCs w:val="20"/>
              </w:rPr>
              <w:t xml:space="preserve"> </w:t>
            </w:r>
            <w:r w:rsidRPr="009F7724">
              <w:rPr>
                <w:position w:val="1"/>
                <w:sz w:val="20"/>
                <w:szCs w:val="20"/>
              </w:rPr>
              <w:t>access</w:t>
            </w:r>
            <w:r w:rsidRPr="009F7724">
              <w:rPr>
                <w:spacing w:val="-6"/>
                <w:position w:val="1"/>
                <w:sz w:val="20"/>
                <w:szCs w:val="20"/>
              </w:rPr>
              <w:t xml:space="preserve"> </w:t>
            </w:r>
            <w:r w:rsidRPr="009F7724">
              <w:rPr>
                <w:position w:val="1"/>
                <w:sz w:val="20"/>
                <w:szCs w:val="20"/>
              </w:rPr>
              <w:t>the</w:t>
            </w:r>
            <w:r w:rsidRPr="009F7724">
              <w:rPr>
                <w:spacing w:val="-5"/>
                <w:position w:val="1"/>
                <w:sz w:val="20"/>
                <w:szCs w:val="20"/>
              </w:rPr>
              <w:t xml:space="preserve"> </w:t>
            </w:r>
            <w:r w:rsidRPr="009F7724">
              <w:rPr>
                <w:spacing w:val="-2"/>
                <w:position w:val="1"/>
                <w:sz w:val="20"/>
                <w:szCs w:val="20"/>
              </w:rPr>
              <w:t>KSP</w:t>
            </w:r>
            <w:r w:rsidRPr="00411DA8">
              <w:rPr>
                <w:spacing w:val="-2"/>
                <w:sz w:val="20"/>
                <w:szCs w:val="20"/>
                <w:vertAlign w:val="subscript"/>
              </w:rPr>
              <w:t>TA</w:t>
            </w:r>
            <w:r w:rsidRPr="009F7724">
              <w:rPr>
                <w:spacing w:val="-2"/>
                <w:sz w:val="20"/>
                <w:szCs w:val="20"/>
              </w:rPr>
              <w:t>.</w:t>
            </w:r>
          </w:p>
          <w:p w14:paraId="4133EF17" w14:textId="136F021C" w:rsidR="009F7724" w:rsidRPr="00411DA8" w:rsidRDefault="009F7724" w:rsidP="00586349">
            <w:pPr>
              <w:ind w:left="306"/>
              <w:rPr>
                <w:b/>
                <w:sz w:val="20"/>
                <w:szCs w:val="20"/>
              </w:rPr>
            </w:pPr>
            <w:r w:rsidRPr="009F7724">
              <w:rPr>
                <w:b/>
                <w:w w:val="105"/>
                <w:position w:val="1"/>
                <w:sz w:val="20"/>
                <w:szCs w:val="20"/>
              </w:rPr>
              <w:t>Note</w:t>
            </w:r>
            <w:r w:rsidRPr="009F7724">
              <w:rPr>
                <w:w w:val="105"/>
                <w:position w:val="1"/>
                <w:sz w:val="20"/>
                <w:szCs w:val="20"/>
              </w:rPr>
              <w:t>: The link expires in 10 days. After expiration, go to “</w:t>
            </w:r>
            <w:r w:rsidRPr="009F7724">
              <w:rPr>
                <w:b/>
                <w:color w:val="008080"/>
                <w:w w:val="105"/>
                <w:sz w:val="20"/>
                <w:szCs w:val="20"/>
              </w:rPr>
              <w:t>Account help</w:t>
            </w:r>
            <w:r w:rsidRPr="009F7724">
              <w:rPr>
                <w:b/>
                <w:color w:val="006666"/>
                <w:w w:val="105"/>
                <w:sz w:val="20"/>
                <w:szCs w:val="20"/>
              </w:rPr>
              <w:t>”</w:t>
            </w:r>
            <w:r w:rsidR="00411DA8">
              <w:rPr>
                <w:b/>
                <w:color w:val="006666"/>
                <w:w w:val="105"/>
                <w:sz w:val="20"/>
                <w:szCs w:val="20"/>
              </w:rPr>
              <w:t xml:space="preserve"> </w:t>
            </w:r>
            <w:r w:rsidRPr="009F7724">
              <w:rPr>
                <w:w w:val="105"/>
                <w:sz w:val="20"/>
                <w:szCs w:val="20"/>
              </w:rPr>
              <w:t xml:space="preserve">and </w:t>
            </w:r>
            <w:r w:rsidRPr="009F7724">
              <w:rPr>
                <w:w w:val="105"/>
                <w:position w:val="1"/>
                <w:sz w:val="20"/>
                <w:szCs w:val="20"/>
              </w:rPr>
              <w:t xml:space="preserve">click </w:t>
            </w:r>
            <w:r w:rsidRPr="009F7724">
              <w:rPr>
                <w:b/>
                <w:w w:val="105"/>
                <w:position w:val="1"/>
                <w:sz w:val="20"/>
                <w:szCs w:val="20"/>
              </w:rPr>
              <w:t>“</w:t>
            </w:r>
            <w:r w:rsidRPr="009F7724">
              <w:rPr>
                <w:w w:val="105"/>
                <w:position w:val="1"/>
                <w:sz w:val="20"/>
                <w:szCs w:val="20"/>
              </w:rPr>
              <w:t>Reset Your Password”.</w:t>
            </w:r>
          </w:p>
          <w:p w14:paraId="00682F15" w14:textId="77777777" w:rsidR="009F7724" w:rsidRPr="00146233" w:rsidRDefault="009F7724" w:rsidP="009F7724">
            <w:pPr>
              <w:tabs>
                <w:tab w:val="left" w:pos="761"/>
              </w:tabs>
              <w:spacing w:before="108"/>
              <w:ind w:left="360"/>
              <w:rPr>
                <w:color w:val="0461C1"/>
                <w:spacing w:val="-2"/>
                <w:sz w:val="20"/>
                <w:u w:val="single" w:color="0461C1"/>
              </w:rPr>
            </w:pPr>
          </w:p>
        </w:tc>
      </w:tr>
      <w:bookmarkEnd w:id="7"/>
    </w:tbl>
    <w:p w14:paraId="201F0EAC" w14:textId="6282AE87" w:rsidR="00146233" w:rsidRDefault="00146233" w:rsidP="005C25E3">
      <w:pPr>
        <w:pStyle w:val="BodyText"/>
        <w:spacing w:before="4"/>
        <w:rPr>
          <w:sz w:val="14"/>
        </w:rPr>
      </w:pPr>
    </w:p>
    <w:p w14:paraId="4A6E6D46" w14:textId="0962F66B" w:rsidR="00146233" w:rsidRDefault="00146233" w:rsidP="005C25E3">
      <w:pPr>
        <w:pStyle w:val="BodyText"/>
        <w:spacing w:before="4"/>
        <w:rPr>
          <w:sz w:val="14"/>
        </w:rPr>
      </w:pPr>
    </w:p>
    <w:p w14:paraId="34940E22" w14:textId="2EEF0F16" w:rsidR="00146233" w:rsidRDefault="00146233" w:rsidP="005C25E3">
      <w:pPr>
        <w:pStyle w:val="BodyText"/>
        <w:spacing w:before="4"/>
        <w:rPr>
          <w:sz w:val="14"/>
        </w:rPr>
      </w:pPr>
    </w:p>
    <w:p w14:paraId="67645786" w14:textId="77777777" w:rsidR="000D6528" w:rsidRPr="003D45B9" w:rsidRDefault="000D6528" w:rsidP="000D6528">
      <w:pPr>
        <w:rPr>
          <w:rFonts w:ascii="Arial" w:hAnsi="Arial" w:cs="Arial"/>
          <w:lang w:val="en-US"/>
        </w:rPr>
      </w:pPr>
    </w:p>
    <w:sectPr w:rsidR="000D6528" w:rsidRPr="003D45B9" w:rsidSect="00716B6D">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355D" w14:textId="77777777" w:rsidR="00BC5745" w:rsidRDefault="00BC5745" w:rsidP="002267ED">
      <w:pPr>
        <w:spacing w:after="0" w:line="240" w:lineRule="auto"/>
      </w:pPr>
      <w:r>
        <w:separator/>
      </w:r>
    </w:p>
  </w:endnote>
  <w:endnote w:type="continuationSeparator" w:id="0">
    <w:p w14:paraId="2F24BE9C" w14:textId="77777777" w:rsidR="00BC5745" w:rsidRDefault="00BC5745" w:rsidP="0022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853F" w14:textId="794CFE24" w:rsidR="00AA77A3" w:rsidRDefault="00A556B7">
    <w:pPr>
      <w:pStyle w:val="Footer"/>
    </w:pPr>
    <w:r>
      <w:rPr>
        <w:noProof/>
      </w:rPr>
      <mc:AlternateContent>
        <mc:Choice Requires="wps">
          <w:drawing>
            <wp:anchor distT="0" distB="0" distL="0" distR="0" simplePos="0" relativeHeight="251663360" behindDoc="0" locked="0" layoutInCell="1" allowOverlap="1" wp14:anchorId="19BEA570" wp14:editId="4563915D">
              <wp:simplePos x="635" y="635"/>
              <wp:positionH relativeFrom="page">
                <wp:align>center</wp:align>
              </wp:positionH>
              <wp:positionV relativeFrom="page">
                <wp:align>bottom</wp:align>
              </wp:positionV>
              <wp:extent cx="443865" cy="443865"/>
              <wp:effectExtent l="0" t="0" r="13335" b="0"/>
              <wp:wrapNone/>
              <wp:docPr id="3"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4CE15" w14:textId="2732CDE7" w:rsidR="00A556B7" w:rsidRPr="00A556B7" w:rsidRDefault="00A556B7" w:rsidP="00A556B7">
                          <w:pPr>
                            <w:spacing w:after="0"/>
                            <w:rPr>
                              <w:rFonts w:ascii="Calibri" w:eastAsia="Calibri" w:hAnsi="Calibri" w:cs="Calibri"/>
                              <w:noProof/>
                              <w:color w:val="0000FF"/>
                              <w:sz w:val="20"/>
                              <w:szCs w:val="20"/>
                            </w:rPr>
                          </w:pPr>
                          <w:r w:rsidRPr="00A556B7">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BEA570" id="_x0000_t202" coordsize="21600,21600" o:spt="202" path="m,l,21600r21600,l21600,xe">
              <v:stroke joinstyle="miter"/>
              <v:path gradientshapeok="t" o:connecttype="rect"/>
            </v:shapetype>
            <v:shape id="Text Box 3" o:spid="_x0000_s1026" type="#_x0000_t202" alt="Restricted Use - À usage restrein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614CE15" w14:textId="2732CDE7" w:rsidR="00A556B7" w:rsidRPr="00A556B7" w:rsidRDefault="00A556B7" w:rsidP="00A556B7">
                    <w:pPr>
                      <w:spacing w:after="0"/>
                      <w:rPr>
                        <w:rFonts w:ascii="Calibri" w:eastAsia="Calibri" w:hAnsi="Calibri" w:cs="Calibri"/>
                        <w:noProof/>
                        <w:color w:val="0000FF"/>
                        <w:sz w:val="20"/>
                        <w:szCs w:val="20"/>
                      </w:rPr>
                    </w:pPr>
                    <w:r w:rsidRPr="00A556B7">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FFC5" w14:textId="1B319B51" w:rsidR="00E54BB2" w:rsidRPr="00E54BB2" w:rsidRDefault="00A556B7" w:rsidP="00E54BB2">
    <w:pPr>
      <w:pStyle w:val="break-word"/>
      <w:shd w:val="clear" w:color="auto" w:fill="FFFFFF"/>
      <w:spacing w:before="0" w:beforeAutospacing="0" w:after="150" w:afterAutospacing="0"/>
      <w:rPr>
        <w:rFonts w:ascii="Calibri" w:hAnsi="Calibri" w:cs="Calibri"/>
        <w:i/>
        <w:iCs/>
        <w:color w:val="333333"/>
        <w:sz w:val="21"/>
        <w:szCs w:val="21"/>
      </w:rPr>
    </w:pPr>
    <w:r>
      <w:rPr>
        <w:rFonts w:ascii="Calibri" w:hAnsi="Calibri" w:cs="Calibri"/>
        <w:i/>
        <w:iCs/>
        <w:noProof/>
        <w:color w:val="333333"/>
        <w:sz w:val="21"/>
        <w:szCs w:val="21"/>
      </w:rPr>
      <mc:AlternateContent>
        <mc:Choice Requires="wps">
          <w:drawing>
            <wp:anchor distT="0" distB="0" distL="0" distR="0" simplePos="0" relativeHeight="251664384" behindDoc="0" locked="0" layoutInCell="1" allowOverlap="1" wp14:anchorId="59202440" wp14:editId="7AF1CF5B">
              <wp:simplePos x="457835" y="9985375"/>
              <wp:positionH relativeFrom="page">
                <wp:align>center</wp:align>
              </wp:positionH>
              <wp:positionV relativeFrom="page">
                <wp:align>bottom</wp:align>
              </wp:positionV>
              <wp:extent cx="443865" cy="443865"/>
              <wp:effectExtent l="0" t="0" r="13335" b="0"/>
              <wp:wrapNone/>
              <wp:docPr id="5" name="Text Box 5"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08CA6" w14:textId="1960AF2C" w:rsidR="00A556B7" w:rsidRPr="00A556B7" w:rsidRDefault="00A556B7" w:rsidP="00A556B7">
                          <w:pPr>
                            <w:spacing w:after="0"/>
                            <w:rPr>
                              <w:rFonts w:ascii="Calibri" w:eastAsia="Calibri" w:hAnsi="Calibri" w:cs="Calibri"/>
                              <w:noProof/>
                              <w:color w:val="0000FF"/>
                              <w:sz w:val="20"/>
                              <w:szCs w:val="20"/>
                            </w:rPr>
                          </w:pPr>
                          <w:r w:rsidRPr="00A556B7">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202440" id="_x0000_t202" coordsize="21600,21600" o:spt="202" path="m,l,21600r21600,l21600,xe">
              <v:stroke joinstyle="miter"/>
              <v:path gradientshapeok="t" o:connecttype="rect"/>
            </v:shapetype>
            <v:shape id="Text Box 5" o:spid="_x0000_s1027" type="#_x0000_t202" alt="Restricted Use - À usage restrein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408CA6" w14:textId="1960AF2C" w:rsidR="00A556B7" w:rsidRPr="00A556B7" w:rsidRDefault="00A556B7" w:rsidP="00A556B7">
                    <w:pPr>
                      <w:spacing w:after="0"/>
                      <w:rPr>
                        <w:rFonts w:ascii="Calibri" w:eastAsia="Calibri" w:hAnsi="Calibri" w:cs="Calibri"/>
                        <w:noProof/>
                        <w:color w:val="0000FF"/>
                        <w:sz w:val="20"/>
                        <w:szCs w:val="20"/>
                      </w:rPr>
                    </w:pPr>
                    <w:r w:rsidRPr="00A556B7">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rPr>
        <w:rFonts w:ascii="Calibri" w:hAnsi="Calibri" w:cs="Calibri"/>
        <w:i/>
        <w:iCs/>
        <w:color w:val="333333"/>
        <w:sz w:val="21"/>
        <w:szCs w:val="21"/>
      </w:rPr>
      <w:id w:val="-774636101"/>
      <w:docPartObj>
        <w:docPartGallery w:val="Page Numbers (Bottom of Page)"/>
        <w:docPartUnique/>
      </w:docPartObj>
    </w:sdtPr>
    <w:sdtEndPr/>
    <w:sdtContent>
      <w:p w14:paraId="0DBBAFC3" w14:textId="77777777" w:rsidR="00E54BB2" w:rsidRPr="00E54BB2" w:rsidRDefault="004023C2" w:rsidP="00E54BB2">
        <w:pPr>
          <w:pStyle w:val="break-word"/>
          <w:shd w:val="clear" w:color="auto" w:fill="FFFFFF"/>
          <w:spacing w:before="0" w:beforeAutospacing="0" w:after="150" w:afterAutospacing="0"/>
          <w:rPr>
            <w:rFonts w:ascii="Calibri" w:hAnsi="Calibri" w:cs="Calibri"/>
            <w:i/>
            <w:iCs/>
            <w:color w:val="333333"/>
            <w:sz w:val="21"/>
            <w:szCs w:val="21"/>
          </w:rPr>
        </w:pPr>
        <w:r w:rsidRPr="004023C2">
          <w:rPr>
            <w:rFonts w:asciiTheme="majorHAnsi" w:eastAsiaTheme="majorEastAsia" w:hAnsiTheme="majorHAnsi" w:cstheme="majorBidi"/>
            <w:noProof/>
            <w:sz w:val="28"/>
            <w:szCs w:val="28"/>
            <w:lang w:eastAsia="en-US"/>
          </w:rPr>
          <mc:AlternateContent>
            <mc:Choice Requires="wps">
              <w:drawing>
                <wp:anchor distT="0" distB="0" distL="114300" distR="114300" simplePos="0" relativeHeight="251659264" behindDoc="0" locked="0" layoutInCell="1" allowOverlap="1" wp14:anchorId="079E1EE9" wp14:editId="6D01F34F">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8147BCD" w14:textId="77777777" w:rsidR="004023C2" w:rsidRDefault="004023C2">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E1EE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8"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" filled="f" fillcolor="#5c83b4" stroked="f" strokecolor="#737373">
                  <v:textbox>
                    <w:txbxContent>
                      <w:p w14:paraId="58147BCD" w14:textId="77777777" w:rsidR="004023C2" w:rsidRDefault="004023C2">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5964719" w14:paraId="2949F06E" w14:textId="77777777" w:rsidTr="00595B80">
      <w:tc>
        <w:tcPr>
          <w:tcW w:w="3485" w:type="dxa"/>
        </w:tcPr>
        <w:p w14:paraId="4C68880B" w14:textId="2B56BCFC" w:rsidR="75964719" w:rsidRDefault="00A556B7" w:rsidP="00595B80">
          <w:pPr>
            <w:pStyle w:val="Header"/>
            <w:ind w:left="-115"/>
          </w:pPr>
          <w:r>
            <w:rPr>
              <w:noProof/>
            </w:rPr>
            <mc:AlternateContent>
              <mc:Choice Requires="wps">
                <w:drawing>
                  <wp:anchor distT="0" distB="0" distL="0" distR="0" simplePos="0" relativeHeight="251662336" behindDoc="0" locked="0" layoutInCell="1" allowOverlap="1" wp14:anchorId="399CCDBD" wp14:editId="464CB22D">
                    <wp:simplePos x="523875" y="9906000"/>
                    <wp:positionH relativeFrom="page">
                      <wp:align>center</wp:align>
                    </wp:positionH>
                    <wp:positionV relativeFrom="page">
                      <wp:align>bottom</wp:align>
                    </wp:positionV>
                    <wp:extent cx="443865" cy="443865"/>
                    <wp:effectExtent l="0" t="0" r="13335" b="0"/>
                    <wp:wrapNone/>
                    <wp:docPr id="2"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C87B6" w14:textId="635F3E5C" w:rsidR="00A556B7" w:rsidRPr="00A556B7" w:rsidRDefault="00A556B7" w:rsidP="00A556B7">
                                <w:pPr>
                                  <w:spacing w:after="0"/>
                                  <w:rPr>
                                    <w:rFonts w:ascii="Calibri" w:eastAsia="Calibri" w:hAnsi="Calibri" w:cs="Calibri"/>
                                    <w:noProof/>
                                    <w:color w:val="0000FF"/>
                                    <w:sz w:val="20"/>
                                    <w:szCs w:val="20"/>
                                  </w:rPr>
                                </w:pPr>
                                <w:r w:rsidRPr="00A556B7">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CCDBD" id="_x0000_t202" coordsize="21600,21600" o:spt="202" path="m,l,21600r21600,l21600,xe">
                    <v:stroke joinstyle="miter"/>
                    <v:path gradientshapeok="t" o:connecttype="rect"/>
                  </v:shapetype>
                  <v:shape id="_x0000_s1030" type="#_x0000_t202" alt="Restricted Use - À usage restreint"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C2C87B6" w14:textId="635F3E5C" w:rsidR="00A556B7" w:rsidRPr="00A556B7" w:rsidRDefault="00A556B7" w:rsidP="00A556B7">
                          <w:pPr>
                            <w:spacing w:after="0"/>
                            <w:rPr>
                              <w:rFonts w:ascii="Calibri" w:eastAsia="Calibri" w:hAnsi="Calibri" w:cs="Calibri"/>
                              <w:noProof/>
                              <w:color w:val="0000FF"/>
                              <w:sz w:val="20"/>
                              <w:szCs w:val="20"/>
                            </w:rPr>
                          </w:pPr>
                          <w:r w:rsidRPr="00A556B7">
                            <w:rPr>
                              <w:rFonts w:ascii="Calibri" w:eastAsia="Calibri" w:hAnsi="Calibri" w:cs="Calibri"/>
                              <w:noProof/>
                              <w:color w:val="0000FF"/>
                              <w:sz w:val="20"/>
                              <w:szCs w:val="20"/>
                            </w:rPr>
                            <w:t>Restricted Use - À usage restreint</w:t>
                          </w:r>
                        </w:p>
                      </w:txbxContent>
                    </v:textbox>
                    <w10:wrap anchorx="page" anchory="page"/>
                  </v:shape>
                </w:pict>
              </mc:Fallback>
            </mc:AlternateContent>
          </w:r>
        </w:p>
      </w:tc>
      <w:tc>
        <w:tcPr>
          <w:tcW w:w="3485" w:type="dxa"/>
        </w:tcPr>
        <w:p w14:paraId="0031BFF5" w14:textId="1DC41798" w:rsidR="75964719" w:rsidRDefault="75964719" w:rsidP="00595B80">
          <w:pPr>
            <w:pStyle w:val="Header"/>
            <w:jc w:val="center"/>
          </w:pPr>
        </w:p>
      </w:tc>
      <w:tc>
        <w:tcPr>
          <w:tcW w:w="3485" w:type="dxa"/>
        </w:tcPr>
        <w:p w14:paraId="788420A4" w14:textId="35C36034" w:rsidR="75964719" w:rsidRDefault="75964719" w:rsidP="00595B80">
          <w:pPr>
            <w:pStyle w:val="Header"/>
            <w:ind w:right="-115"/>
            <w:jc w:val="right"/>
          </w:pPr>
        </w:p>
      </w:tc>
    </w:tr>
  </w:tbl>
  <w:p w14:paraId="2F06815D" w14:textId="658AD5FC" w:rsidR="75964719" w:rsidRDefault="75964719" w:rsidP="0059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CBC3" w14:textId="77777777" w:rsidR="00BC5745" w:rsidRDefault="00BC5745" w:rsidP="002267ED">
      <w:pPr>
        <w:spacing w:after="0" w:line="240" w:lineRule="auto"/>
      </w:pPr>
      <w:r>
        <w:separator/>
      </w:r>
    </w:p>
  </w:footnote>
  <w:footnote w:type="continuationSeparator" w:id="0">
    <w:p w14:paraId="3EDAAFA1" w14:textId="77777777" w:rsidR="00BC5745" w:rsidRDefault="00BC5745" w:rsidP="00226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9D3F" w14:textId="77777777" w:rsidR="00AA77A3" w:rsidRDefault="00AA7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5964719" w14:paraId="107CADBE" w14:textId="77777777" w:rsidTr="00595B80">
      <w:tc>
        <w:tcPr>
          <w:tcW w:w="3485" w:type="dxa"/>
        </w:tcPr>
        <w:p w14:paraId="3BA0D4B0" w14:textId="42598686" w:rsidR="75964719" w:rsidRDefault="009933D8" w:rsidP="009933D8">
          <w:pPr>
            <w:pStyle w:val="Header"/>
            <w:ind w:left="-115"/>
            <w:jc w:val="right"/>
          </w:pPr>
          <w:bookmarkStart w:id="9" w:name="TITUS1HeaderPrimary"/>
          <w:r w:rsidRPr="009933D8">
            <w:rPr>
              <w:color w:val="000000"/>
              <w:sz w:val="17"/>
            </w:rPr>
            <w:t> </w:t>
          </w:r>
          <w:bookmarkEnd w:id="9"/>
        </w:p>
      </w:tc>
      <w:tc>
        <w:tcPr>
          <w:tcW w:w="3485" w:type="dxa"/>
        </w:tcPr>
        <w:p w14:paraId="4F4ACEB8" w14:textId="7B65E45A" w:rsidR="75964719" w:rsidRDefault="75964719" w:rsidP="00595B80">
          <w:pPr>
            <w:pStyle w:val="Header"/>
            <w:jc w:val="center"/>
          </w:pPr>
        </w:p>
      </w:tc>
      <w:tc>
        <w:tcPr>
          <w:tcW w:w="3485" w:type="dxa"/>
        </w:tcPr>
        <w:p w14:paraId="005D6EB6" w14:textId="5306E6E6" w:rsidR="75964719" w:rsidRDefault="75964719" w:rsidP="00595B80">
          <w:pPr>
            <w:pStyle w:val="Header"/>
            <w:ind w:right="-115"/>
            <w:jc w:val="right"/>
          </w:pPr>
        </w:p>
      </w:tc>
    </w:tr>
  </w:tbl>
  <w:p w14:paraId="114E514A" w14:textId="7FCE0A10" w:rsidR="75964719" w:rsidRDefault="75964719" w:rsidP="00595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BB23" w14:textId="4E29AD3A" w:rsidR="00AA77A3" w:rsidRDefault="009933D8" w:rsidP="009933D8">
    <w:pPr>
      <w:pStyle w:val="Header"/>
      <w:ind w:left="-709" w:right="-720"/>
      <w:jc w:val="right"/>
    </w:pPr>
    <w:bookmarkStart w:id="10" w:name="TITUS1HeaderFirstPage"/>
    <w:r w:rsidRPr="009933D8">
      <w:rPr>
        <w:color w:val="000000"/>
        <w:sz w:val="17"/>
      </w:rPr>
      <w:t> </w:t>
    </w:r>
    <w:bookmarkEnd w:id="10"/>
  </w:p>
  <w:p w14:paraId="3E1EB591" w14:textId="2B0127AC" w:rsidR="0055196B" w:rsidRDefault="00D46193" w:rsidP="00716B6D">
    <w:pPr>
      <w:pStyle w:val="Header"/>
      <w:ind w:left="-709" w:right="-720"/>
    </w:pPr>
    <w:r>
      <w:rPr>
        <w:noProof/>
      </w:rPr>
      <mc:AlternateContent>
        <mc:Choice Requires="wps">
          <w:drawing>
            <wp:anchor distT="45720" distB="45720" distL="114300" distR="114300" simplePos="0" relativeHeight="251661312" behindDoc="0" locked="0" layoutInCell="1" allowOverlap="1" wp14:anchorId="65EC773C" wp14:editId="13D31213">
              <wp:simplePos x="0" y="0"/>
              <wp:positionH relativeFrom="column">
                <wp:posOffset>-168910</wp:posOffset>
              </wp:positionH>
              <wp:positionV relativeFrom="paragraph">
                <wp:posOffset>1228725</wp:posOffset>
              </wp:positionV>
              <wp:extent cx="3271116" cy="48617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116" cy="486179"/>
                      </a:xfrm>
                      <a:prstGeom prst="rect">
                        <a:avLst/>
                      </a:prstGeom>
                      <a:noFill/>
                      <a:ln w="9525">
                        <a:noFill/>
                        <a:miter lim="800000"/>
                        <a:headEnd/>
                        <a:tailEnd/>
                      </a:ln>
                    </wps:spPr>
                    <wps:txbx>
                      <w:txbxContent>
                        <w:p w14:paraId="6B320B4D" w14:textId="58D0AE88" w:rsidR="00D46193" w:rsidRPr="00595B80" w:rsidRDefault="005A4AF3" w:rsidP="00D46193">
                          <w:pPr>
                            <w:rPr>
                              <w:rFonts w:ascii="Arial Black" w:hAnsi="Arial Black"/>
                              <w:b/>
                              <w:bCs/>
                              <w:color w:val="44546A" w:themeColor="text2"/>
                              <w:sz w:val="44"/>
                              <w:szCs w:val="44"/>
                            </w:rPr>
                          </w:pPr>
                          <w:r w:rsidRPr="00595B80">
                            <w:rPr>
                              <w:rFonts w:ascii="Arial Black" w:hAnsi="Arial Black"/>
                              <w:b/>
                              <w:bCs/>
                              <w:color w:val="44546A" w:themeColor="text2"/>
                              <w:sz w:val="44"/>
                              <w:szCs w:val="44"/>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C773C" id="_x0000_t202" coordsize="21600,21600" o:spt="202" path="m,l,21600r21600,l21600,xe">
              <v:stroke joinstyle="miter"/>
              <v:path gradientshapeok="t" o:connecttype="rect"/>
            </v:shapetype>
            <v:shape id="Text Box 2" o:spid="_x0000_s1029" type="#_x0000_t202" style="position:absolute;left:0;text-align:left;margin-left:-13.3pt;margin-top:96.75pt;width:257.55pt;height:38.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" filled="f" stroked="f">
              <v:textbox>
                <w:txbxContent>
                  <w:p w14:paraId="6B320B4D" w14:textId="58D0AE88" w:rsidR="00D46193" w:rsidRPr="00595B80" w:rsidRDefault="005A4AF3" w:rsidP="00D46193">
                    <w:pPr>
                      <w:rPr>
                        <w:rFonts w:ascii="Arial Black" w:hAnsi="Arial Black"/>
                        <w:b/>
                        <w:bCs/>
                        <w:color w:val="44546A" w:themeColor="text2"/>
                        <w:sz w:val="44"/>
                        <w:szCs w:val="44"/>
                      </w:rPr>
                    </w:pPr>
                    <w:r w:rsidRPr="00595B80">
                      <w:rPr>
                        <w:rFonts w:ascii="Arial Black" w:hAnsi="Arial Black"/>
                        <w:b/>
                        <w:bCs/>
                        <w:color w:val="44546A" w:themeColor="text2"/>
                        <w:sz w:val="44"/>
                        <w:szCs w:val="44"/>
                      </w:rPr>
                      <w:t>AGENDA</w:t>
                    </w:r>
                  </w:p>
                </w:txbxContent>
              </v:textbox>
            </v:shape>
          </w:pict>
        </mc:Fallback>
      </mc:AlternateContent>
    </w:r>
    <w:r w:rsidR="0055196B">
      <w:rPr>
        <w:rFonts w:ascii="Times New Roman"/>
        <w:noProof/>
        <w:sz w:val="20"/>
      </w:rPr>
      <w:drawing>
        <wp:inline distT="0" distB="0" distL="0" distR="0" wp14:anchorId="1F66271F" wp14:editId="1FB2FCA9">
          <wp:extent cx="7536180" cy="177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018" cy="17872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D5A21"/>
    <w:multiLevelType w:val="hybridMultilevel"/>
    <w:tmpl w:val="E9088AEC"/>
    <w:lvl w:ilvl="0" w:tplc="CE4E33FA">
      <w:start w:val="1"/>
      <w:numFmt w:val="decimal"/>
      <w:lvlText w:val="%1."/>
      <w:lvlJc w:val="left"/>
      <w:pPr>
        <w:ind w:left="667" w:hanging="360"/>
      </w:pPr>
      <w:rPr>
        <w:rFonts w:hint="default"/>
        <w:color w:val="auto"/>
        <w:sz w:val="22"/>
        <w:u w:val="none"/>
      </w:rPr>
    </w:lvl>
    <w:lvl w:ilvl="1" w:tplc="10090019" w:tentative="1">
      <w:start w:val="1"/>
      <w:numFmt w:val="lowerLetter"/>
      <w:lvlText w:val="%2."/>
      <w:lvlJc w:val="left"/>
      <w:pPr>
        <w:ind w:left="1387" w:hanging="360"/>
      </w:pPr>
    </w:lvl>
    <w:lvl w:ilvl="2" w:tplc="1009001B" w:tentative="1">
      <w:start w:val="1"/>
      <w:numFmt w:val="lowerRoman"/>
      <w:lvlText w:val="%3."/>
      <w:lvlJc w:val="right"/>
      <w:pPr>
        <w:ind w:left="2107" w:hanging="180"/>
      </w:pPr>
    </w:lvl>
    <w:lvl w:ilvl="3" w:tplc="1009000F" w:tentative="1">
      <w:start w:val="1"/>
      <w:numFmt w:val="decimal"/>
      <w:lvlText w:val="%4."/>
      <w:lvlJc w:val="left"/>
      <w:pPr>
        <w:ind w:left="2827" w:hanging="360"/>
      </w:pPr>
    </w:lvl>
    <w:lvl w:ilvl="4" w:tplc="10090019" w:tentative="1">
      <w:start w:val="1"/>
      <w:numFmt w:val="lowerLetter"/>
      <w:lvlText w:val="%5."/>
      <w:lvlJc w:val="left"/>
      <w:pPr>
        <w:ind w:left="3547" w:hanging="360"/>
      </w:pPr>
    </w:lvl>
    <w:lvl w:ilvl="5" w:tplc="1009001B" w:tentative="1">
      <w:start w:val="1"/>
      <w:numFmt w:val="lowerRoman"/>
      <w:lvlText w:val="%6."/>
      <w:lvlJc w:val="right"/>
      <w:pPr>
        <w:ind w:left="4267" w:hanging="180"/>
      </w:pPr>
    </w:lvl>
    <w:lvl w:ilvl="6" w:tplc="1009000F" w:tentative="1">
      <w:start w:val="1"/>
      <w:numFmt w:val="decimal"/>
      <w:lvlText w:val="%7."/>
      <w:lvlJc w:val="left"/>
      <w:pPr>
        <w:ind w:left="4987" w:hanging="360"/>
      </w:pPr>
    </w:lvl>
    <w:lvl w:ilvl="7" w:tplc="10090019" w:tentative="1">
      <w:start w:val="1"/>
      <w:numFmt w:val="lowerLetter"/>
      <w:lvlText w:val="%8."/>
      <w:lvlJc w:val="left"/>
      <w:pPr>
        <w:ind w:left="5707" w:hanging="360"/>
      </w:pPr>
    </w:lvl>
    <w:lvl w:ilvl="8" w:tplc="1009001B" w:tentative="1">
      <w:start w:val="1"/>
      <w:numFmt w:val="lowerRoman"/>
      <w:lvlText w:val="%9."/>
      <w:lvlJc w:val="right"/>
      <w:pPr>
        <w:ind w:left="6427" w:hanging="180"/>
      </w:pPr>
    </w:lvl>
  </w:abstractNum>
  <w:abstractNum w:abstractNumId="1" w15:restartNumberingAfterBreak="0">
    <w:nsid w:val="289E678C"/>
    <w:multiLevelType w:val="hybridMultilevel"/>
    <w:tmpl w:val="41F26294"/>
    <w:lvl w:ilvl="0" w:tplc="33106CE6">
      <w:start w:val="5"/>
      <w:numFmt w:val="decimal"/>
      <w:lvlText w:val="%1."/>
      <w:lvlJc w:val="left"/>
      <w:pPr>
        <w:ind w:left="562" w:hanging="361"/>
        <w:jc w:val="left"/>
      </w:pPr>
      <w:rPr>
        <w:rFonts w:ascii="Calibri" w:eastAsia="Calibri" w:hAnsi="Calibri" w:cs="Calibri" w:hint="default"/>
        <w:b w:val="0"/>
        <w:bCs w:val="0"/>
        <w:i w:val="0"/>
        <w:iCs w:val="0"/>
        <w:w w:val="100"/>
        <w:sz w:val="22"/>
        <w:szCs w:val="22"/>
        <w:lang w:val="en-US" w:eastAsia="en-US" w:bidi="ar-SA"/>
      </w:rPr>
    </w:lvl>
    <w:lvl w:ilvl="1" w:tplc="419A13D6">
      <w:numFmt w:val="bullet"/>
      <w:lvlText w:val="•"/>
      <w:lvlJc w:val="left"/>
      <w:pPr>
        <w:ind w:left="1519" w:hanging="361"/>
      </w:pPr>
      <w:rPr>
        <w:rFonts w:hint="default"/>
        <w:lang w:val="en-US" w:eastAsia="en-US" w:bidi="ar-SA"/>
      </w:rPr>
    </w:lvl>
    <w:lvl w:ilvl="2" w:tplc="47DAE936">
      <w:numFmt w:val="bullet"/>
      <w:lvlText w:val="•"/>
      <w:lvlJc w:val="left"/>
      <w:pPr>
        <w:ind w:left="2478" w:hanging="361"/>
      </w:pPr>
      <w:rPr>
        <w:rFonts w:hint="default"/>
        <w:lang w:val="en-US" w:eastAsia="en-US" w:bidi="ar-SA"/>
      </w:rPr>
    </w:lvl>
    <w:lvl w:ilvl="3" w:tplc="58DE8DF0">
      <w:numFmt w:val="bullet"/>
      <w:lvlText w:val="•"/>
      <w:lvlJc w:val="left"/>
      <w:pPr>
        <w:ind w:left="3437" w:hanging="361"/>
      </w:pPr>
      <w:rPr>
        <w:rFonts w:hint="default"/>
        <w:lang w:val="en-US" w:eastAsia="en-US" w:bidi="ar-SA"/>
      </w:rPr>
    </w:lvl>
    <w:lvl w:ilvl="4" w:tplc="CED4217A">
      <w:numFmt w:val="bullet"/>
      <w:lvlText w:val="•"/>
      <w:lvlJc w:val="left"/>
      <w:pPr>
        <w:ind w:left="4396" w:hanging="361"/>
      </w:pPr>
      <w:rPr>
        <w:rFonts w:hint="default"/>
        <w:lang w:val="en-US" w:eastAsia="en-US" w:bidi="ar-SA"/>
      </w:rPr>
    </w:lvl>
    <w:lvl w:ilvl="5" w:tplc="85EAD4A2">
      <w:numFmt w:val="bullet"/>
      <w:lvlText w:val="•"/>
      <w:lvlJc w:val="left"/>
      <w:pPr>
        <w:ind w:left="5356" w:hanging="361"/>
      </w:pPr>
      <w:rPr>
        <w:rFonts w:hint="default"/>
        <w:lang w:val="en-US" w:eastAsia="en-US" w:bidi="ar-SA"/>
      </w:rPr>
    </w:lvl>
    <w:lvl w:ilvl="6" w:tplc="C3460424">
      <w:numFmt w:val="bullet"/>
      <w:lvlText w:val="•"/>
      <w:lvlJc w:val="left"/>
      <w:pPr>
        <w:ind w:left="6315" w:hanging="361"/>
      </w:pPr>
      <w:rPr>
        <w:rFonts w:hint="default"/>
        <w:lang w:val="en-US" w:eastAsia="en-US" w:bidi="ar-SA"/>
      </w:rPr>
    </w:lvl>
    <w:lvl w:ilvl="7" w:tplc="2480B536">
      <w:numFmt w:val="bullet"/>
      <w:lvlText w:val="•"/>
      <w:lvlJc w:val="left"/>
      <w:pPr>
        <w:ind w:left="7274" w:hanging="361"/>
      </w:pPr>
      <w:rPr>
        <w:rFonts w:hint="default"/>
        <w:lang w:val="en-US" w:eastAsia="en-US" w:bidi="ar-SA"/>
      </w:rPr>
    </w:lvl>
    <w:lvl w:ilvl="8" w:tplc="65A6FF0E">
      <w:numFmt w:val="bullet"/>
      <w:lvlText w:val="•"/>
      <w:lvlJc w:val="left"/>
      <w:pPr>
        <w:ind w:left="8233" w:hanging="361"/>
      </w:pPr>
      <w:rPr>
        <w:rFonts w:hint="default"/>
        <w:lang w:val="en-US" w:eastAsia="en-US" w:bidi="ar-SA"/>
      </w:rPr>
    </w:lvl>
  </w:abstractNum>
  <w:abstractNum w:abstractNumId="2" w15:restartNumberingAfterBreak="0">
    <w:nsid w:val="3843203E"/>
    <w:multiLevelType w:val="hybridMultilevel"/>
    <w:tmpl w:val="4EE8AE10"/>
    <w:lvl w:ilvl="0" w:tplc="06148EF2">
      <w:start w:val="3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27DF2"/>
    <w:multiLevelType w:val="hybridMultilevel"/>
    <w:tmpl w:val="788291EA"/>
    <w:lvl w:ilvl="0" w:tplc="289E975E">
      <w:start w:val="3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919CD"/>
    <w:multiLevelType w:val="hybridMultilevel"/>
    <w:tmpl w:val="A4FCEBF0"/>
    <w:lvl w:ilvl="0" w:tplc="1009000F">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C1E1AF4"/>
    <w:multiLevelType w:val="hybridMultilevel"/>
    <w:tmpl w:val="764A888E"/>
    <w:lvl w:ilvl="0" w:tplc="A6B02DC0">
      <w:start w:val="10"/>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118623">
    <w:abstractNumId w:val="3"/>
  </w:num>
  <w:num w:numId="2" w16cid:durableId="474224109">
    <w:abstractNumId w:val="1"/>
  </w:num>
  <w:num w:numId="3" w16cid:durableId="126436111">
    <w:abstractNumId w:val="2"/>
  </w:num>
  <w:num w:numId="4" w16cid:durableId="1525440648">
    <w:abstractNumId w:val="0"/>
  </w:num>
  <w:num w:numId="5" w16cid:durableId="1316032342">
    <w:abstractNumId w:val="4"/>
  </w:num>
  <w:num w:numId="6" w16cid:durableId="505755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MbI0NLawMDQwMzVT0lEKTi0uzszPAykwrQUAM5PjHiwAAAA="/>
  </w:docVars>
  <w:rsids>
    <w:rsidRoot w:val="002267ED"/>
    <w:rsid w:val="0001118F"/>
    <w:rsid w:val="00022AA2"/>
    <w:rsid w:val="00032F9A"/>
    <w:rsid w:val="00074E5B"/>
    <w:rsid w:val="00094FF8"/>
    <w:rsid w:val="000959F7"/>
    <w:rsid w:val="000B5ED6"/>
    <w:rsid w:val="000D6528"/>
    <w:rsid w:val="000F0CEF"/>
    <w:rsid w:val="00113424"/>
    <w:rsid w:val="00125993"/>
    <w:rsid w:val="001262A9"/>
    <w:rsid w:val="00141191"/>
    <w:rsid w:val="0014175E"/>
    <w:rsid w:val="00146233"/>
    <w:rsid w:val="00176648"/>
    <w:rsid w:val="001A690F"/>
    <w:rsid w:val="001B13C7"/>
    <w:rsid w:val="001E001F"/>
    <w:rsid w:val="001E0BEF"/>
    <w:rsid w:val="001E1C0D"/>
    <w:rsid w:val="0021591A"/>
    <w:rsid w:val="002267ED"/>
    <w:rsid w:val="00234BD9"/>
    <w:rsid w:val="00234EDB"/>
    <w:rsid w:val="00244CE7"/>
    <w:rsid w:val="00251BE1"/>
    <w:rsid w:val="00254962"/>
    <w:rsid w:val="002742A7"/>
    <w:rsid w:val="0028082D"/>
    <w:rsid w:val="00297DED"/>
    <w:rsid w:val="002C5FC5"/>
    <w:rsid w:val="002F3FB9"/>
    <w:rsid w:val="00304B69"/>
    <w:rsid w:val="0031383B"/>
    <w:rsid w:val="00327DB8"/>
    <w:rsid w:val="00334BD5"/>
    <w:rsid w:val="0035040D"/>
    <w:rsid w:val="003559E0"/>
    <w:rsid w:val="0036543C"/>
    <w:rsid w:val="00371F8C"/>
    <w:rsid w:val="003C066D"/>
    <w:rsid w:val="003D45B9"/>
    <w:rsid w:val="003D5412"/>
    <w:rsid w:val="003D6539"/>
    <w:rsid w:val="003E1262"/>
    <w:rsid w:val="003E5DB2"/>
    <w:rsid w:val="003F5661"/>
    <w:rsid w:val="004023C2"/>
    <w:rsid w:val="00411DA8"/>
    <w:rsid w:val="00421592"/>
    <w:rsid w:val="004417B0"/>
    <w:rsid w:val="004604B0"/>
    <w:rsid w:val="00461178"/>
    <w:rsid w:val="00463DBF"/>
    <w:rsid w:val="00481904"/>
    <w:rsid w:val="004934D0"/>
    <w:rsid w:val="004A152B"/>
    <w:rsid w:val="004F5B7C"/>
    <w:rsid w:val="005017F9"/>
    <w:rsid w:val="0053507D"/>
    <w:rsid w:val="005430B1"/>
    <w:rsid w:val="0055196B"/>
    <w:rsid w:val="0056289F"/>
    <w:rsid w:val="00570E2D"/>
    <w:rsid w:val="005720C9"/>
    <w:rsid w:val="00580364"/>
    <w:rsid w:val="00586349"/>
    <w:rsid w:val="00595B80"/>
    <w:rsid w:val="005A4AF3"/>
    <w:rsid w:val="005B5AC0"/>
    <w:rsid w:val="005C25E3"/>
    <w:rsid w:val="005D5C62"/>
    <w:rsid w:val="005E3E10"/>
    <w:rsid w:val="005F1B27"/>
    <w:rsid w:val="0064534E"/>
    <w:rsid w:val="00646B85"/>
    <w:rsid w:val="006B27D4"/>
    <w:rsid w:val="006C1F9E"/>
    <w:rsid w:val="006D6A81"/>
    <w:rsid w:val="006E7E4F"/>
    <w:rsid w:val="00706289"/>
    <w:rsid w:val="007125E2"/>
    <w:rsid w:val="007142C4"/>
    <w:rsid w:val="007155DE"/>
    <w:rsid w:val="00716B6D"/>
    <w:rsid w:val="00720869"/>
    <w:rsid w:val="00741462"/>
    <w:rsid w:val="0078624F"/>
    <w:rsid w:val="007C442D"/>
    <w:rsid w:val="007C7F27"/>
    <w:rsid w:val="007D3C73"/>
    <w:rsid w:val="008105A7"/>
    <w:rsid w:val="0081092F"/>
    <w:rsid w:val="00820180"/>
    <w:rsid w:val="00866D6B"/>
    <w:rsid w:val="00873133"/>
    <w:rsid w:val="00882815"/>
    <w:rsid w:val="008905BE"/>
    <w:rsid w:val="008971BA"/>
    <w:rsid w:val="008D028A"/>
    <w:rsid w:val="008E06B3"/>
    <w:rsid w:val="008F5E9D"/>
    <w:rsid w:val="009557E8"/>
    <w:rsid w:val="00962683"/>
    <w:rsid w:val="009850AC"/>
    <w:rsid w:val="009933D8"/>
    <w:rsid w:val="009C1BEF"/>
    <w:rsid w:val="009D36DE"/>
    <w:rsid w:val="009E0021"/>
    <w:rsid w:val="009E6819"/>
    <w:rsid w:val="009F2E92"/>
    <w:rsid w:val="009F7724"/>
    <w:rsid w:val="00A26260"/>
    <w:rsid w:val="00A36914"/>
    <w:rsid w:val="00A50FB4"/>
    <w:rsid w:val="00A556B7"/>
    <w:rsid w:val="00AA0AE0"/>
    <w:rsid w:val="00AA77A3"/>
    <w:rsid w:val="00AB5A5A"/>
    <w:rsid w:val="00AC4210"/>
    <w:rsid w:val="00AC7360"/>
    <w:rsid w:val="00AD7390"/>
    <w:rsid w:val="00AE1F12"/>
    <w:rsid w:val="00AE7FDB"/>
    <w:rsid w:val="00AF1B4E"/>
    <w:rsid w:val="00B00258"/>
    <w:rsid w:val="00B23160"/>
    <w:rsid w:val="00B35082"/>
    <w:rsid w:val="00B40C7D"/>
    <w:rsid w:val="00B54378"/>
    <w:rsid w:val="00B75213"/>
    <w:rsid w:val="00B80286"/>
    <w:rsid w:val="00BB0B3D"/>
    <w:rsid w:val="00BB5675"/>
    <w:rsid w:val="00BC5745"/>
    <w:rsid w:val="00BD38AF"/>
    <w:rsid w:val="00C027DE"/>
    <w:rsid w:val="00C12B20"/>
    <w:rsid w:val="00C15378"/>
    <w:rsid w:val="00C412CC"/>
    <w:rsid w:val="00C4155B"/>
    <w:rsid w:val="00C71BB9"/>
    <w:rsid w:val="00CD0381"/>
    <w:rsid w:val="00CF04AB"/>
    <w:rsid w:val="00CF2164"/>
    <w:rsid w:val="00CF3131"/>
    <w:rsid w:val="00CF4E74"/>
    <w:rsid w:val="00D0026C"/>
    <w:rsid w:val="00D2119A"/>
    <w:rsid w:val="00D23FA9"/>
    <w:rsid w:val="00D24E13"/>
    <w:rsid w:val="00D46193"/>
    <w:rsid w:val="00D61CDE"/>
    <w:rsid w:val="00D73F1B"/>
    <w:rsid w:val="00D77033"/>
    <w:rsid w:val="00D86E85"/>
    <w:rsid w:val="00DA5EBB"/>
    <w:rsid w:val="00DB6399"/>
    <w:rsid w:val="00DD76EC"/>
    <w:rsid w:val="00E1566A"/>
    <w:rsid w:val="00E36245"/>
    <w:rsid w:val="00E50472"/>
    <w:rsid w:val="00E54BB2"/>
    <w:rsid w:val="00E82D6F"/>
    <w:rsid w:val="00EC0F66"/>
    <w:rsid w:val="00EC7AA5"/>
    <w:rsid w:val="00ED7481"/>
    <w:rsid w:val="00EE1156"/>
    <w:rsid w:val="00F17F86"/>
    <w:rsid w:val="00F2653A"/>
    <w:rsid w:val="00F30CF3"/>
    <w:rsid w:val="00F44C30"/>
    <w:rsid w:val="00FB7187"/>
    <w:rsid w:val="00FC2451"/>
    <w:rsid w:val="00FC41AC"/>
    <w:rsid w:val="00FC424B"/>
    <w:rsid w:val="00FD41DA"/>
    <w:rsid w:val="00FE4891"/>
    <w:rsid w:val="00FE5013"/>
    <w:rsid w:val="00FE77BF"/>
    <w:rsid w:val="4BD2C01F"/>
    <w:rsid w:val="751D86D9"/>
    <w:rsid w:val="7596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3E6E"/>
  <w15:chartTrackingRefBased/>
  <w15:docId w15:val="{5105770B-9569-4456-839A-8B8527F3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7ED"/>
  </w:style>
  <w:style w:type="paragraph" w:styleId="Footer">
    <w:name w:val="footer"/>
    <w:basedOn w:val="Normal"/>
    <w:link w:val="FooterChar"/>
    <w:uiPriority w:val="99"/>
    <w:unhideWhenUsed/>
    <w:rsid w:val="00226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7ED"/>
  </w:style>
  <w:style w:type="character" w:styleId="CommentReference">
    <w:name w:val="annotation reference"/>
    <w:basedOn w:val="DefaultParagraphFont"/>
    <w:uiPriority w:val="99"/>
    <w:semiHidden/>
    <w:unhideWhenUsed/>
    <w:rsid w:val="002267ED"/>
    <w:rPr>
      <w:sz w:val="16"/>
      <w:szCs w:val="16"/>
    </w:rPr>
  </w:style>
  <w:style w:type="paragraph" w:styleId="CommentText">
    <w:name w:val="annotation text"/>
    <w:basedOn w:val="Normal"/>
    <w:link w:val="CommentTextChar"/>
    <w:uiPriority w:val="99"/>
    <w:unhideWhenUsed/>
    <w:rsid w:val="002267ED"/>
    <w:pPr>
      <w:spacing w:line="240" w:lineRule="auto"/>
    </w:pPr>
    <w:rPr>
      <w:sz w:val="20"/>
      <w:szCs w:val="20"/>
    </w:rPr>
  </w:style>
  <w:style w:type="character" w:customStyle="1" w:styleId="CommentTextChar">
    <w:name w:val="Comment Text Char"/>
    <w:basedOn w:val="DefaultParagraphFont"/>
    <w:link w:val="CommentText"/>
    <w:uiPriority w:val="99"/>
    <w:rsid w:val="002267ED"/>
    <w:rPr>
      <w:sz w:val="20"/>
      <w:szCs w:val="20"/>
    </w:rPr>
  </w:style>
  <w:style w:type="paragraph" w:styleId="CommentSubject">
    <w:name w:val="annotation subject"/>
    <w:basedOn w:val="CommentText"/>
    <w:next w:val="CommentText"/>
    <w:link w:val="CommentSubjectChar"/>
    <w:uiPriority w:val="99"/>
    <w:semiHidden/>
    <w:unhideWhenUsed/>
    <w:rsid w:val="002267ED"/>
    <w:rPr>
      <w:b/>
      <w:bCs/>
    </w:rPr>
  </w:style>
  <w:style w:type="character" w:customStyle="1" w:styleId="CommentSubjectChar">
    <w:name w:val="Comment Subject Char"/>
    <w:basedOn w:val="CommentTextChar"/>
    <w:link w:val="CommentSubject"/>
    <w:uiPriority w:val="99"/>
    <w:semiHidden/>
    <w:rsid w:val="002267ED"/>
    <w:rPr>
      <w:b/>
      <w:bCs/>
      <w:sz w:val="20"/>
      <w:szCs w:val="20"/>
    </w:rPr>
  </w:style>
  <w:style w:type="paragraph" w:styleId="ListParagraph">
    <w:name w:val="List Paragraph"/>
    <w:basedOn w:val="Normal"/>
    <w:uiPriority w:val="34"/>
    <w:qFormat/>
    <w:rsid w:val="00E54BB2"/>
    <w:pPr>
      <w:ind w:left="720"/>
      <w:contextualSpacing/>
    </w:pPr>
  </w:style>
  <w:style w:type="paragraph" w:customStyle="1" w:styleId="break-word">
    <w:name w:val="break-word"/>
    <w:basedOn w:val="Normal"/>
    <w:rsid w:val="00E54B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E54BB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54BB2"/>
    <w:rPr>
      <w:rFonts w:ascii="Calibri" w:eastAsia="Calibri" w:hAnsi="Calibri" w:cs="Calibri"/>
      <w:lang w:val="en-US"/>
    </w:rPr>
  </w:style>
  <w:style w:type="table" w:styleId="TableGrid">
    <w:name w:val="Table Grid"/>
    <w:basedOn w:val="TableNormal"/>
    <w:uiPriority w:val="39"/>
    <w:rsid w:val="0081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C25E3"/>
    <w:pPr>
      <w:widowControl w:val="0"/>
      <w:autoSpaceDE w:val="0"/>
      <w:autoSpaceDN w:val="0"/>
      <w:spacing w:after="0" w:line="240" w:lineRule="auto"/>
      <w:ind w:left="110"/>
    </w:pPr>
    <w:rPr>
      <w:rFonts w:ascii="Calibri" w:eastAsia="Calibri" w:hAnsi="Calibri" w:cs="Calibri"/>
      <w:lang w:val="en-US"/>
    </w:rPr>
  </w:style>
  <w:style w:type="character" w:styleId="Hyperlink">
    <w:name w:val="Hyperlink"/>
    <w:basedOn w:val="DefaultParagraphFont"/>
    <w:uiPriority w:val="99"/>
    <w:unhideWhenUsed/>
    <w:rsid w:val="00FE77BF"/>
    <w:rPr>
      <w:color w:val="0563C1" w:themeColor="hyperlink"/>
      <w:u w:val="single"/>
    </w:rPr>
  </w:style>
  <w:style w:type="character" w:styleId="UnresolvedMention">
    <w:name w:val="Unresolved Mention"/>
    <w:basedOn w:val="DefaultParagraphFont"/>
    <w:uiPriority w:val="99"/>
    <w:semiHidden/>
    <w:unhideWhenUsed/>
    <w:rsid w:val="00FE77BF"/>
    <w:rPr>
      <w:color w:val="605E5C"/>
      <w:shd w:val="clear" w:color="auto" w:fill="E1DFDD"/>
    </w:rPr>
  </w:style>
  <w:style w:type="table" w:styleId="TableGridLight">
    <w:name w:val="Grid Table Light"/>
    <w:basedOn w:val="TableNormal"/>
    <w:uiPriority w:val="40"/>
    <w:rsid w:val="000D65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76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452">
      <w:bodyDiv w:val="1"/>
      <w:marLeft w:val="0"/>
      <w:marRight w:val="0"/>
      <w:marTop w:val="0"/>
      <w:marBottom w:val="0"/>
      <w:divBdr>
        <w:top w:val="none" w:sz="0" w:space="0" w:color="auto"/>
        <w:left w:val="none" w:sz="0" w:space="0" w:color="auto"/>
        <w:bottom w:val="none" w:sz="0" w:space="0" w:color="auto"/>
        <w:right w:val="none" w:sz="0" w:space="0" w:color="auto"/>
      </w:divBdr>
    </w:div>
    <w:div w:id="3500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ksp-ta.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ksp-ta.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48437ce2c3c4c508e6dbb232c223ecb xmlns="cf16f947-c9fc-4be9-80b4-2a32b4ac226e">
      <Terms xmlns="http://schemas.microsoft.com/office/infopath/2007/PartnerControls"/>
    </g48437ce2c3c4c508e6dbb232c223ecb>
    <OECDKimBussinessContext xmlns="54c4cd27-f286-408f-9ce0-33c1e0f3ab39"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5.2.1 Co-operation with Partner Countries</TermName>
          <TermId xmlns="http://schemas.microsoft.com/office/infopath/2007/PartnerControls">4973b1d4-739c-4840-b088-61a602058a99</TermId>
        </TermInfo>
      </Terms>
    </eSharePWBTaxHTField0>
    <OECDlanguage xmlns="ca82dde9-3436-4d3d-bddd-d31447390034">English</OECDlanguage>
    <OECDProjectMembers xmlns="cf16f947-c9fc-4be9-80b4-2a32b4ac226e">
      <UserInfo>
        <DisplayName>RODRIGUEZ-CALDERON Ana, CTP/GRD</DisplayName>
        <AccountId>362</AccountId>
        <AccountType/>
      </UserInfo>
      <UserInfo>
        <DisplayName>DE RUYVER Eef, CTP/GRD</DisplayName>
        <AccountId>190</AccountId>
        <AccountType/>
      </UserInfo>
      <UserInfo>
        <DisplayName>HUDE Christine, CTP/GRD</DisplayName>
        <AccountId>150</AccountId>
        <AccountType/>
      </UserInfo>
      <UserInfo>
        <DisplayName>SOTO ALVAREZ Julia, CTP/GRD</DisplayName>
        <AccountId>827</AccountId>
        <AccountType/>
      </UserInfo>
      <UserInfo>
        <DisplayName>CROIBIER Elisa, CTP/GRD</DisplayName>
        <AccountId>2852</AccountId>
        <AccountType/>
      </UserInfo>
      <UserInfo>
        <DisplayName>ONO Koji, CTP/GRD</DisplayName>
        <AccountId>2300</AccountId>
        <AccountType/>
      </UserInfo>
      <UserInfo>
        <DisplayName>DEDIEU Anne-Laure, DAF/RBC</DisplayName>
        <AccountId>971</AccountId>
        <AccountType/>
      </UserInfo>
      <UserInfo>
        <DisplayName>HAMADI Hakim, CTP/GF</DisplayName>
        <AccountId>377</AccountId>
        <AccountType/>
      </UserInfo>
      <UserInfo>
        <DisplayName>ROONEY Alba, CTP/GRD</DisplayName>
        <AccountId>3016</AccountId>
        <AccountType/>
      </UserInfo>
      <UserInfo>
        <DisplayName>RUIZ ESPARZA Adriana, CTP/GRD</DisplayName>
        <AccountId>2454</AccountId>
        <AccountType/>
      </UserInfo>
      <UserInfo>
        <DisplayName>GLEN Jennifer, CTP/GRD</DisplayName>
        <AccountId>3353</AccountId>
        <AccountType/>
      </UserInfo>
      <UserInfo>
        <DisplayName>BARRET Edward, CTP/TTIC</DisplayName>
        <AccountId>162</AccountId>
        <AccountType/>
      </UserInfo>
      <UserInfo>
        <DisplayName>TRAORE Fatoumata Cherif, CTP/GRD</DisplayName>
        <AccountId>3922</AccountId>
        <AccountType/>
      </UserInfo>
      <UserInfo>
        <DisplayName>RAGALA Yasmine, CTP/GRD</DisplayName>
        <AccountId>4054</AccountId>
        <AccountType/>
      </UserInfo>
      <UserInfo>
        <DisplayName>DAOUD Camille, CTP/GRD</DisplayName>
        <AccountId>4410</AccountId>
        <AccountType/>
      </UserInfo>
    </OECDProjectMembers>
    <IconOverlay xmlns="http://schemas.microsoft.com/sharepoint/v4" xsi:nil="true"/>
    <OECDPinnedBy xmlns="cf16f947-c9fc-4be9-80b4-2a32b4ac226e">
      <UserInfo>
        <DisplayName/>
        <AccountId xsi:nil="true"/>
        <AccountType/>
      </UserInfo>
    </OECDPinnedBy>
    <OECDProjectManager xmlns="cf16f947-c9fc-4be9-80b4-2a32b4ac226e">
      <UserInfo>
        <DisplayName>TONINO Harry, CTP/GRD</DisplayName>
        <AccountId>2696</AccountId>
        <AccountType/>
      </UserInfo>
    </OECDProjectManager>
    <OECDSharingStatus xmlns="cf16f947-c9fc-4be9-80b4-2a32b4ac226e" xsi:nil="true"/>
    <OECDProjectLookup xmlns="cf16f947-c9fc-4be9-80b4-2a32b4ac226e">107</OECDProjectLookup>
    <OECDMeetingDate xmlns="54c4cd27-f286-408f-9ce0-33c1e0f3ab39" xsi:nil="true"/>
    <OECDCommunityDocumentURL xmlns="cf16f947-c9fc-4be9-80b4-2a32b4ac226e" xsi:nil="true"/>
    <OECDTagsCache xmlns="cf16f947-c9fc-4be9-80b4-2a32b4ac226e" xsi:nil="true"/>
    <OECDDeliverableManager xmlns="cf16f947-c9fc-4be9-80b4-2a32b4ac226e">
      <UserInfo>
        <DisplayName/>
        <AccountId xsi:nil="true"/>
        <AccountType/>
      </UserInfo>
    </OECDDeliverableManager>
    <l9a152565aff414c8d842958d210d414 xmlns="cf16f947-c9fc-4be9-80b4-2a32b4ac226e" xsi:nil="true"/>
    <OECDAllRelatedUsers xmlns="9e406c50-2549-4f1e-a767-e9b68096b47b">
      <UserInfo>
        <DisplayName/>
        <AccountId xsi:nil="true"/>
        <AccountType/>
      </UserInfo>
    </OECDAllRelatedUsers>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ExpirationDate xmlns="9e406c50-2549-4f1e-a767-e9b68096b47b" xsi:nil="true"/>
    <OECDMainProject xmlns="cf16f947-c9fc-4be9-80b4-2a32b4ac226e"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eShareKeywordsTaxHTField0 xmlns="c9f238dd-bb73-4aef-a7a5-d644ad823e52">
      <Terms xmlns="http://schemas.microsoft.com/office/infopath/2007/PartnerControls"/>
    </eShareKeywordsTaxHTField0>
    <OECDCommunityDocumentID xmlns="cf16f947-c9fc-4be9-80b4-2a32b4ac226e" xsi:nil="true"/>
    <TaxCatchAll xmlns="ca82dde9-3436-4d3d-bddd-d31447390034">
      <Value>990</Value>
    </TaxCatchAll>
    <hfa66f2e5af148f08064c2e62791b306 xmlns="9e406c50-2549-4f1e-a767-e9b68096b47b">
      <Terms xmlns="http://schemas.microsoft.com/office/infopath/2007/PartnerControls"/>
    </hfa66f2e5af148f08064c2e62791b306>
    <eShareHorizProjTaxHTField0 xmlns="9e406c50-2549-4f1e-a767-e9b68096b4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2507BED6B5908645AAA96978AD5D1987" ma:contentTypeVersion="84" ma:contentTypeDescription="" ma:contentTypeScope="" ma:versionID="4b9e4c91350cf35f50d1d6b61051afd7">
  <xsd:schema xmlns:xsd="http://www.w3.org/2001/XMLSchema" xmlns:xs="http://www.w3.org/2001/XMLSchema" xmlns:p="http://schemas.microsoft.com/office/2006/metadata/properties" xmlns:ns1="54c4cd27-f286-408f-9ce0-33c1e0f3ab39" xmlns:ns2="9e406c50-2549-4f1e-a767-e9b68096b47b" xmlns:ns3="cf16f947-c9fc-4be9-80b4-2a32b4ac226e" xmlns:ns5="c9f238dd-bb73-4aef-a7a5-d644ad823e52" xmlns:ns6="ca82dde9-3436-4d3d-bddd-d31447390034" xmlns:ns7="http://schemas.microsoft.com/sharepoint/v4" targetNamespace="http://schemas.microsoft.com/office/2006/metadata/properties" ma:root="true" ma:fieldsID="2273f3d944750c630511b0d01f641b8c" ns1:_="" ns2:_="" ns3:_="" ns5:_="" ns6:_="" ns7:_="">
    <xsd:import namespace="54c4cd27-f286-408f-9ce0-33c1e0f3ab39"/>
    <xsd:import namespace="9e406c50-2549-4f1e-a767-e9b68096b47b"/>
    <xsd:import namespace="cf16f947-c9fc-4be9-80b4-2a32b4ac226e"/>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6:TaxCatchAll" minOccurs="0"/>
                <xsd:element ref="ns3:l9a152565aff414c8d842958d210d414" minOccurs="0"/>
                <xsd:element ref="ns6:TaxCatchAllLabel" minOccurs="0"/>
                <xsd:element ref="ns1:OECDMeetingDate" minOccurs="0"/>
                <xsd:element ref="ns6:OECDlanguage" minOccurs="0"/>
                <xsd:element ref="ns2:hfa66f2e5af148f08064c2e62791b306" minOccurs="0"/>
                <xsd:element ref="ns3:g48437ce2c3c4c508e6dbb232c223ecb" minOccurs="0"/>
                <xsd:element ref="ns3:OECDSharingStatus" minOccurs="0"/>
                <xsd:element ref="ns3:OECDCommunityDocumentURL" minOccurs="0"/>
                <xsd:element ref="ns3:OECDCommunityDocumentID" minOccurs="0"/>
                <xsd:element ref="ns2:eShareHorizProjTaxHTField0" minOccurs="0"/>
                <xsd:element ref="ns3:OECDTagsCache" minOccurs="0"/>
                <xsd:element ref="ns3:OECDDeliverableManager" minOccurs="0"/>
                <xsd:element ref="ns7:IconOverlay"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8" nillable="true" ma:displayName="Meeting Date" ma:default="" ma:format="DateOnly" ma:hidden="true" ma:internalName="OECDMeetingDate">
      <xsd:simpleType>
        <xsd:restriction base="dms:DateTime"/>
      </xsd:simpleType>
    </xsd:element>
    <xsd:element name="OECDYear" ma:index="45"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6c50-2549-4f1e-a767-e9b68096b47b"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hfa66f2e5af148f08064c2e62791b306" ma:index="33" nillable="true" ma:taxonomy="true" ma:internalName="hfa66f2e5af148f08064c2e62791b306" ma:taxonomyFieldName="OECDHorizontalProjects" ma:displayName="Horizontal project" ma:readOnly="false" ma:default="" ma:fieldId="{1fa66f2e-5af1-48f0-8064-c2e62791b30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38" nillable="true" ma:displayName="OECDHorizontalProjects_0" ma:description="" ma:hidden="true" ma:internalName="eShareHorizProjTaxHTField0">
      <xsd:simpleType>
        <xsd:restriction base="dms:Note"/>
      </xsd:simpleType>
    </xsd:element>
    <xsd:element name="OECDAllRelatedUsers" ma:index="43"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6f947-c9fc-4be9-80b4-2a32b4ac226e"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639da05e-b3c6-46a1-b83b-8ce0cfde2092" ma:internalName="OECDProjectLookup" ma:readOnly="false" ma:showField="OECDShortProjectName" ma:web="cf16f947-c9fc-4be9-80b4-2a32b4ac226e">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639da05e-b3c6-46a1-b83b-8ce0cfde2092"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9a152565aff414c8d842958d210d414" ma:index="25" nillable="true" ma:displayName="Deliverable owner_0" ma:hidden="true" ma:internalName="l9a152565aff414c8d842958d210d414">
      <xsd:simpleType>
        <xsd:restriction base="dms:Note"/>
      </xsd:simpleType>
    </xsd:element>
    <xsd:element name="g48437ce2c3c4c508e6dbb232c223ecb" ma:index="34" nillable="true" ma:taxonomy="true" ma:internalName="g48437ce2c3c4c508e6dbb232c223ecb" ma:taxonomyFieldName="OECDProjectOwnerStructure" ma:displayName="Project owner" ma:readOnly="false" ma:default="" ma:fieldId="048437ce-2c3c-4c50-8e6d-bb232c223ec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5" nillable="true" ma:displayName="O.N.E Document Sharing Status" ma:description="" ma:hidden="true" ma:internalName="OECDSharingStatus">
      <xsd:simpleType>
        <xsd:restriction base="dms:Text"/>
      </xsd:simpleType>
    </xsd:element>
    <xsd:element name="OECDCommunityDocumentURL" ma:index="36" nillable="true" ma:displayName="O.N.E Community Document URL" ma:description="" ma:hidden="true" ma:internalName="OECDCommunityDocumentURL">
      <xsd:simpleType>
        <xsd:restriction base="dms:Text"/>
      </xsd:simpleType>
    </xsd:element>
    <xsd:element name="OECDCommunityDocumentID" ma:index="37" nillable="true" ma:displayName="O.N.E Community Document ID" ma:decimals="0" ma:description="" ma:hidden="true" ma:internalName="OECDCommunityDocumentID">
      <xsd:simpleType>
        <xsd:restriction base="dms:Number"/>
      </xsd:simpleType>
    </xsd:element>
    <xsd:element name="OECDTagsCache" ma:index="40" nillable="true" ma:displayName="Tags cache" ma:description="" ma:hidden="true" ma:internalName="OECDTagsCache">
      <xsd:simpleType>
        <xsd:restriction base="dms:Note"/>
      </xsd:simpleType>
    </xsd:element>
    <xsd:element name="OECDDeliverableManager" ma:index="41" nillable="true" ma:displayName="In charge" ma:description="" ma:hidden="true" ma:internalName="OECDDeliverable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4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313c73-16b7-424d-af27-bacb5b0305bc}" ma:internalName="TaxCatchAll" ma:showField="CatchAllData"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bb313c73-16b7-424d-af27-bacb5b0305bc}" ma:internalName="TaxCatchAllLabel" ma:readOnly="true" ma:showField="CatchAllDataLabel"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Props1.xml><?xml version="1.0" encoding="utf-8"?>
<ds:datastoreItem xmlns:ds="http://schemas.openxmlformats.org/officeDocument/2006/customXml" ds:itemID="{14DAC577-AAC3-4E1A-88EE-3E3A06418ECF}">
  <ds:schemaRefs>
    <ds:schemaRef ds:uri="http://schemas.microsoft.com/office/2006/metadata/properties"/>
    <ds:schemaRef ds:uri="http://schemas.microsoft.com/office/infopath/2007/PartnerControls"/>
    <ds:schemaRef ds:uri="cf16f947-c9fc-4be9-80b4-2a32b4ac226e"/>
    <ds:schemaRef ds:uri="54c4cd27-f286-408f-9ce0-33c1e0f3ab39"/>
    <ds:schemaRef ds:uri="c9f238dd-bb73-4aef-a7a5-d644ad823e52"/>
    <ds:schemaRef ds:uri="ca82dde9-3436-4d3d-bddd-d31447390034"/>
    <ds:schemaRef ds:uri="http://schemas.microsoft.com/sharepoint/v4"/>
    <ds:schemaRef ds:uri="9e406c50-2549-4f1e-a767-e9b68096b47b"/>
  </ds:schemaRefs>
</ds:datastoreItem>
</file>

<file path=customXml/itemProps2.xml><?xml version="1.0" encoding="utf-8"?>
<ds:datastoreItem xmlns:ds="http://schemas.openxmlformats.org/officeDocument/2006/customXml" ds:itemID="{6D2A3D3D-8E98-4EB2-9869-C71DAA26B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9e406c50-2549-4f1e-a767-e9b68096b47b"/>
    <ds:schemaRef ds:uri="cf16f947-c9fc-4be9-80b4-2a32b4ac226e"/>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1879A-00A2-4459-B312-56594CDCD91B}">
  <ds:schemaRefs>
    <ds:schemaRef ds:uri="Microsoft.SharePoint.Taxonomy.ContentTypeSync"/>
  </ds:schemaRefs>
</ds:datastoreItem>
</file>

<file path=customXml/itemProps4.xml><?xml version="1.0" encoding="utf-8"?>
<ds:datastoreItem xmlns:ds="http://schemas.openxmlformats.org/officeDocument/2006/customXml" ds:itemID="{C6AFC3BD-30A8-4C29-BB2A-39701576F95E}">
  <ds:schemaRefs>
    <ds:schemaRef ds:uri="http://www.oecd.org/eshare/projectsentre/CtFieldPriority/"/>
    <ds:schemaRef ds:uri="http://schemas.microsoft.com/2003/10/Serialization/Arrays"/>
  </ds:schemaRefs>
</ds:datastoreItem>
</file>

<file path=customXml/itemProps5.xml><?xml version="1.0" encoding="utf-8"?>
<ds:datastoreItem xmlns:ds="http://schemas.openxmlformats.org/officeDocument/2006/customXml" ds:itemID="{ADEC28E1-12AA-40A8-B669-EEC74FB60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1250</Words>
  <Characters>6866</Characters>
  <Application>Microsoft Office Word</Application>
  <DocSecurity>0</DocSecurity>
  <Lines>298</Lines>
  <Paragraphs>180</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Alba, CTP/GRD</dc:creator>
  <cp:keywords>SecurityClassificationLevel - UNCLASSIFIED, Creator - McNeil, Leana, EventDateandTime - 2022-09-22 at 01:30:05 PM, EventDateandTime - 2022-09-22 at 05:31:46 PM, EventDateandTime - 2022-09-22 at 05:33:21 PM, EventDateandTime - 2022-09-22 at 05:34:02 PM, EventDateandTime - 2022-09-22 at 05:34:13 PM, EventDateandTime - 2022-09-22 at 05:35:23 PM, EventDateandTime - 2022-09-22 at 05:36:30 PM, EventDateandTime - 2022-09-22 at 05:44:23 PM, EventDateandTime - 2022-09-22 at 05:46:37 PM, EventDateandTime - 2022-09-22 at 05:46:46 PM</cp:keywords>
  <dc:description/>
  <cp:lastModifiedBy>CASEY Nicole, CTP/TAV</cp:lastModifiedBy>
  <cp:revision>3</cp:revision>
  <dcterms:created xsi:type="dcterms:W3CDTF">2024-11-18T08:46:00Z</dcterms:created>
  <dcterms:modified xsi:type="dcterms:W3CDTF">2024-11-18T15:32:00Z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0x0101008B4DD370EC31429186F3AD49F0D3098F00D44DBCB9EB4F45278CB5C9765BE5299500A4858B360C6A491AA753F8BCA47AA910002507BED6B5908645AAA96978AD5D1987</vt:lpwstr>
  </property>
  <property fmtid="{D5CDD505-2E9C-101B-9397-08002B2CF9AE}" pid="3" name="OECDCountry">
    <vt:lpwstr/>
  </property>
  <property fmtid="{D5CDD505-2E9C-101B-9397-08002B2CF9AE}" pid="4" name="OECDTopic">
    <vt:lpwstr/>
  </property>
  <property fmtid="{D5CDD505-2E9C-101B-9397-08002B2CF9AE}" pid="5" name="OECDCommittee">
    <vt:lpwstr/>
  </property>
  <property fmtid="{D5CDD505-2E9C-101B-9397-08002B2CF9AE}" pid="6" name="OECDPWB">
    <vt:lpwstr>990;#5.2.1 Co-operation with Partner Countries|4973b1d4-739c-4840-b088-61a602058a99</vt:lpwstr>
  </property>
  <property fmtid="{D5CDD505-2E9C-101B-9397-08002B2CF9AE}" pid="7" name="OECDKeywords">
    <vt:lpwstr/>
  </property>
  <property fmtid="{D5CDD505-2E9C-101B-9397-08002B2CF9AE}" pid="8" name="OECDHorizontalProjects">
    <vt:lpwstr/>
  </property>
  <property fmtid="{D5CDD505-2E9C-101B-9397-08002B2CF9AE}" pid="9" name="OECDProjectOwnerStructure">
    <vt:lpwstr/>
  </property>
  <property fmtid="{D5CDD505-2E9C-101B-9397-08002B2CF9AE}" pid="10" name="TitusGUID">
    <vt:lpwstr>64f2a5d6-8f98-412c-a9c1-f8ae0f55450e</vt:lpwstr>
  </property>
  <property fmtid="{D5CDD505-2E9C-101B-9397-08002B2CF9AE}" pid="11" name="SecurityClassificationLevel">
    <vt:lpwstr>UNCLASSIFIED</vt:lpwstr>
  </property>
  <property fmtid="{D5CDD505-2E9C-101B-9397-08002B2CF9AE}" pid="12" name="LanguageSelection">
    <vt:lpwstr>ENGLISH</vt:lpwstr>
  </property>
  <property fmtid="{D5CDD505-2E9C-101B-9397-08002B2CF9AE}" pid="13" name="VISUALMARKINGS">
    <vt:lpwstr>NO</vt:lpwstr>
  </property>
  <property fmtid="{D5CDD505-2E9C-101B-9397-08002B2CF9AE}" pid="14" name="eShareOrganisationTaxHTField0">
    <vt:lpwstr/>
  </property>
  <property fmtid="{D5CDD505-2E9C-101B-9397-08002B2CF9AE}" pid="15" name="OECDOrganisation">
    <vt:lpwstr/>
  </property>
  <property fmtid="{D5CDD505-2E9C-101B-9397-08002B2CF9AE}" pid="16" name="_docset_NoMedatataSyncRequired">
    <vt:lpwstr>False</vt:lpwstr>
  </property>
  <property fmtid="{D5CDD505-2E9C-101B-9397-08002B2CF9AE}" pid="17" name="ClassificationContentMarkingFooterShapeIds">
    <vt:lpwstr>2,3,5</vt:lpwstr>
  </property>
  <property fmtid="{D5CDD505-2E9C-101B-9397-08002B2CF9AE}" pid="18" name="ClassificationContentMarkingFooterFontProps">
    <vt:lpwstr>#0000ff,10,Calibri</vt:lpwstr>
  </property>
  <property fmtid="{D5CDD505-2E9C-101B-9397-08002B2CF9AE}" pid="19" name="ClassificationContentMarkingFooterText">
    <vt:lpwstr>Restricted Use - À usage restreint</vt:lpwstr>
  </property>
  <property fmtid="{D5CDD505-2E9C-101B-9397-08002B2CF9AE}" pid="20" name="MSIP_Label_0e5510b0-e729-4ef0-a3dd-4ba0dfe56c99_Enabled">
    <vt:lpwstr>true</vt:lpwstr>
  </property>
  <property fmtid="{D5CDD505-2E9C-101B-9397-08002B2CF9AE}" pid="21" name="MSIP_Label_0e5510b0-e729-4ef0-a3dd-4ba0dfe56c99_SetDate">
    <vt:lpwstr>2024-10-01T10:11:23Z</vt:lpwstr>
  </property>
  <property fmtid="{D5CDD505-2E9C-101B-9397-08002B2CF9AE}" pid="22" name="MSIP_Label_0e5510b0-e729-4ef0-a3dd-4ba0dfe56c99_Method">
    <vt:lpwstr>Standard</vt:lpwstr>
  </property>
  <property fmtid="{D5CDD505-2E9C-101B-9397-08002B2CF9AE}" pid="23" name="MSIP_Label_0e5510b0-e729-4ef0-a3dd-4ba0dfe56c99_Name">
    <vt:lpwstr>Restricted Use</vt:lpwstr>
  </property>
  <property fmtid="{D5CDD505-2E9C-101B-9397-08002B2CF9AE}" pid="24" name="MSIP_Label_0e5510b0-e729-4ef0-a3dd-4ba0dfe56c99_SiteId">
    <vt:lpwstr>ac41c7d4-1f61-460d-b0f4-fc925a2b471c</vt:lpwstr>
  </property>
  <property fmtid="{D5CDD505-2E9C-101B-9397-08002B2CF9AE}" pid="25" name="MSIP_Label_0e5510b0-e729-4ef0-a3dd-4ba0dfe56c99_ActionId">
    <vt:lpwstr>9d773ef3-e2d3-4a50-a26e-ee4f9e52a903</vt:lpwstr>
  </property>
  <property fmtid="{D5CDD505-2E9C-101B-9397-08002B2CF9AE}" pid="26" name="MSIP_Label_0e5510b0-e729-4ef0-a3dd-4ba0dfe56c99_ContentBits">
    <vt:lpwstr>2</vt:lpwstr>
  </property>
</Properties>
</file>